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4"/>
        <w:jc w:val="center"/>
        <w:tabs>
          <w:tab w:leader="none" w:pos="567" w:val="left"/>
        </w:tabs>
        <w:spacing w:after="0" w:before="0"/>
      </w:pPr>
      <w:r>
        <w:rPr>
          <w:color w:val="548DD4"/>
          <w:b/>
          <w:szCs w:val="22"/>
          <w:rFonts w:cs="Arial" w:eastAsia="SimSun"/>
          <w:lang w:eastAsia="zh-CN" w:val="es-ES"/>
        </w:rPr>
        <w:t xml:space="preserve">Reunión de Puntos Focales de la </w:t>
      </w:r>
    </w:p>
    <w:p>
      <w:pPr>
        <w:pStyle w:val="style34"/>
        <w:jc w:val="center"/>
        <w:tabs>
          <w:tab w:leader="none" w:pos="567" w:val="left"/>
        </w:tabs>
        <w:spacing w:after="0" w:before="0"/>
      </w:pPr>
      <w:r>
        <w:rPr>
          <w:color w:val="548DD4"/>
          <w:b/>
          <w:szCs w:val="22"/>
          <w:rFonts w:cs="Arial" w:eastAsia="SimSun"/>
          <w:lang w:eastAsia="zh-CN" w:val="es-ES"/>
        </w:rPr>
        <w:t>Red Formación Ambiental para América Latina y el Caribe</w:t>
      </w:r>
    </w:p>
    <w:p>
      <w:pPr>
        <w:pStyle w:val="style34"/>
        <w:jc w:val="center"/>
        <w:tabs>
          <w:tab w:leader="none" w:pos="567" w:val="left"/>
        </w:tabs>
        <w:spacing w:after="0" w:before="0"/>
      </w:pPr>
      <w:r>
        <w:rPr>
          <w:color w:val="548DD4"/>
          <w:b/>
          <w:szCs w:val="22"/>
          <w:rFonts w:cs="Arial" w:eastAsia="SimSun"/>
          <w:lang w:eastAsia="zh-CN" w:val="es-ES"/>
        </w:rPr>
        <w:t>(18 de abril de 2012, San José Costa Rica)</w:t>
      </w:r>
    </w:p>
    <w:p>
      <w:pPr>
        <w:pStyle w:val="style34"/>
        <w:jc w:val="center"/>
        <w:tabs>
          <w:tab w:leader="none" w:pos="567" w:val="left"/>
        </w:tabs>
        <w:spacing w:after="0" w:before="0"/>
      </w:pPr>
      <w:r>
        <w:rPr/>
      </w:r>
    </w:p>
    <w:p>
      <w:pPr>
        <w:pStyle w:val="style0"/>
        <w:jc w:val="center"/>
      </w:pPr>
      <w:r>
        <w:rPr>
          <w:sz w:val="22"/>
          <w:b/>
          <w:szCs w:val="22"/>
          <w:bCs/>
          <w:rFonts w:ascii="Arial" w:cs="Arial" w:hAnsi="Arial"/>
          <w:lang w:val="es-PA"/>
        </w:rPr>
        <w:t xml:space="preserve">Políticas, estrategias y planes nacionales sobre educación ambiental en </w:t>
      </w:r>
    </w:p>
    <w:p>
      <w:pPr>
        <w:pStyle w:val="style0"/>
        <w:jc w:val="center"/>
      </w:pPr>
      <w:r>
        <w:rPr>
          <w:sz w:val="22"/>
          <w:b/>
          <w:szCs w:val="22"/>
          <w:bCs/>
          <w:rFonts w:ascii="Arial" w:cs="Arial" w:hAnsi="Arial"/>
          <w:lang w:val="es-PA"/>
        </w:rPr>
        <w:t>América Latina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sz w:val="22"/>
          <w:szCs w:val="22"/>
          <w:bCs/>
          <w:rFonts w:ascii="Arial" w:cs="Arial" w:hAnsi="Arial"/>
          <w:lang w:val="es-PA"/>
        </w:rPr>
        <w:t>Cuestionario</w:t>
      </w:r>
    </w:p>
    <w:p>
      <w:pPr>
        <w:pStyle w:val="style0"/>
        <w:jc w:val="both"/>
      </w:pPr>
      <w:r>
        <w:rPr/>
      </w:r>
    </w:p>
    <w:p>
      <w:pPr>
        <w:pStyle w:val="style0"/>
        <w:numPr>
          <w:ilvl w:val="0"/>
          <w:numId w:val="1"/>
        </w:numPr>
        <w:jc w:val="both"/>
        <w:ind w:hanging="0" w:left="360" w:right="0"/>
      </w:pPr>
      <w:r>
        <w:rPr>
          <w:sz w:val="22"/>
          <w:szCs w:val="22"/>
          <w:bCs/>
          <w:rFonts w:ascii="Arial" w:cs="Arial" w:hAnsi="Arial"/>
          <w:lang w:val="es-PA"/>
        </w:rPr>
        <w:t xml:space="preserve">¿Cuenta su país con una </w:t>
      </w:r>
      <w:r>
        <w:rPr>
          <w:sz w:val="22"/>
          <w:b/>
          <w:szCs w:val="22"/>
          <w:bCs/>
          <w:rFonts w:ascii="Arial" w:cs="Arial" w:hAnsi="Arial"/>
          <w:lang w:val="es-PA"/>
        </w:rPr>
        <w:t>política, estrategia o plan nacional</w:t>
      </w:r>
      <w:r>
        <w:rPr>
          <w:sz w:val="22"/>
          <w:szCs w:val="22"/>
          <w:bCs/>
          <w:rFonts w:ascii="Arial" w:cs="Arial" w:hAnsi="Arial"/>
          <w:lang w:val="es-PA"/>
        </w:rPr>
        <w:t xml:space="preserve"> sobre educación ambiental?</w:t>
      </w:r>
    </w:p>
    <w:p>
      <w:pPr>
        <w:pStyle w:val="style0"/>
        <w:jc w:val="both"/>
      </w:pPr>
      <w:r>
        <w:rPr>
          <w:sz w:val="22"/>
          <w:szCs w:val="22"/>
          <w:bCs/>
          <w:rFonts w:ascii="Arial" w:cs="Arial" w:hAnsi="Arial"/>
          <w:lang w:val="es-PA"/>
        </w:rPr>
        <w:t xml:space="preserve">Política Nacional de Educação Ambiental – PNEA instituía pela </w:t>
      </w:r>
      <w:r>
        <w:rPr>
          <w:b/>
          <w:bCs/>
          <w:rFonts w:ascii="TimesNewRomanPS-BoldMT" w:cs="TimesNewRomanPS-BoldMT" w:hAnsi="TimesNewRomanPS-BoldMT"/>
          <w:lang w:eastAsia="es-ES" w:val="pt-BR"/>
        </w:rPr>
        <w:t>Lei n° 9.795, de 27 de abril de 1999</w:t>
      </w:r>
      <w:r>
        <w:rPr>
          <w:sz w:val="22"/>
          <w:szCs w:val="22"/>
          <w:bCs/>
          <w:rFonts w:ascii="Arial" w:cs="Arial" w:hAnsi="Arial"/>
          <w:lang w:val="es-PA"/>
        </w:rPr>
        <w:t xml:space="preserve">, e regulamentada pelo </w:t>
      </w:r>
      <w:r>
        <w:rPr>
          <w:b/>
          <w:bCs/>
          <w:rFonts w:ascii="TimesNewRomanPS-BoldMT" w:cs="TimesNewRomanPS-BoldMT" w:hAnsi="TimesNewRomanPS-BoldMT"/>
          <w:lang w:eastAsia="es-ES" w:val="pt-BR"/>
        </w:rPr>
        <w:t>Decreto nº 4.281, de 25 de junho de 2002</w:t>
      </w:r>
    </w:p>
    <w:p>
      <w:pPr>
        <w:pStyle w:val="style0"/>
        <w:jc w:val="both"/>
      </w:pPr>
      <w:r>
        <w:rPr>
          <w:bCs/>
          <w:rFonts w:ascii="TimesNewRomanPS-BoldMT" w:cs="TimesNewRomanPS-BoldMT" w:hAnsi="TimesNewRomanPS-BoldMT"/>
          <w:lang w:eastAsia="es-ES" w:val="pt-BR"/>
        </w:rPr>
        <w:t>Programa Nacional de Educação Ambiental – ProNEA criado em 2003 e submetido a consulta pública em 2005.</w:t>
      </w:r>
    </w:p>
    <w:p>
      <w:pPr>
        <w:pStyle w:val="style0"/>
        <w:jc w:val="both"/>
      </w:pPr>
      <w:r>
        <w:rPr>
          <w:bCs/>
          <w:rFonts w:ascii="TimesNewRomanPS-BoldMT" w:cs="TimesNewRomanPS-BoldMT" w:hAnsi="TimesNewRomanPS-BoldMT"/>
          <w:lang w:eastAsia="es-ES" w:val="pt-BR"/>
        </w:rPr>
        <w:t>Em consonância com a PNEA e com o ProNEA foram criados outros programas e estratégias de educação ambiental temáticas, são eles: (i) Estratégia Nacional de Comunicação e Educação Ambiental em Unidades de Conservação - ENCEA; (ii) Programa Nacional de Educação Ambiental e Agricultura Familiar - PEAAF; (iii) Programa Nacional de Educação Ambiental e Mobilização Social em Saneamento PEAMSS; (iv) Profea – Programa Nacional de Formação de Educadores Ambientais;  (v) Programa de Educomunicação; e (iv) Programa Escolas Sustentáveis.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  <w:ind w:hanging="0" w:left="360" w:right="0"/>
      </w:pPr>
      <w:r>
        <w:rPr>
          <w:sz w:val="22"/>
          <w:szCs w:val="22"/>
          <w:bCs/>
          <w:rFonts w:ascii="Arial" w:cs="Arial" w:hAnsi="Arial"/>
          <w:lang w:val="es-PA"/>
        </w:rPr>
        <w:t xml:space="preserve">En caso positivo, incluir </w:t>
      </w:r>
      <w:r>
        <w:rPr>
          <w:sz w:val="22"/>
          <w:b/>
          <w:szCs w:val="22"/>
          <w:bCs/>
          <w:rFonts w:ascii="Arial" w:cs="Arial" w:hAnsi="Arial"/>
          <w:lang w:val="es-PA"/>
        </w:rPr>
        <w:t>copia o vinculo en internet</w:t>
      </w:r>
      <w:r>
        <w:rPr>
          <w:sz w:val="22"/>
          <w:szCs w:val="22"/>
          <w:bCs/>
          <w:rFonts w:ascii="Arial" w:cs="Arial" w:hAnsi="Arial"/>
          <w:lang w:val="es-PA"/>
        </w:rPr>
        <w:t xml:space="preserve"> con el texto correspondiente.</w:t>
      </w:r>
    </w:p>
    <w:p>
      <w:pPr>
        <w:pStyle w:val="style0"/>
        <w:jc w:val="both"/>
        <w:ind w:hanging="0" w:left="360" w:right="0"/>
      </w:pPr>
      <w:hyperlink r:id="rId2">
        <w:r>
          <w:rPr>
            <w:rStyle w:val="style16"/>
            <w:sz w:val="22"/>
            <w:szCs w:val="22"/>
            <w:bCs/>
            <w:rStyle w:val="style16"/>
            <w:rFonts w:ascii="Arial" w:cs="Arial" w:hAnsi="Arial"/>
            <w:lang w:val="es-PA"/>
          </w:rPr>
          <w:t>http://www.mma.gov.br/estruturas/educamb/_arquivos/pronea3.pdf</w:t>
        </w:r>
      </w:hyperlink>
    </w:p>
    <w:p>
      <w:pPr>
        <w:pStyle w:val="style0"/>
        <w:jc w:val="both"/>
        <w:ind w:hanging="0" w:left="360" w:right="0"/>
      </w:pPr>
      <w:hyperlink r:id="rId3">
        <w:r>
          <w:rPr>
            <w:rStyle w:val="style16"/>
            <w:sz w:val="22"/>
            <w:szCs w:val="22"/>
            <w:bCs/>
            <w:rStyle w:val="style16"/>
            <w:rFonts w:ascii="Arial" w:cs="Arial" w:hAnsi="Arial"/>
            <w:lang w:val="es-PA"/>
          </w:rPr>
          <w:t>http://www.mma.gov.br/educacao-ambiental/formacao-de-educadores/item/8267</w:t>
        </w:r>
      </w:hyperlink>
    </w:p>
    <w:p>
      <w:pPr>
        <w:pStyle w:val="style0"/>
        <w:jc w:val="both"/>
        <w:ind w:hanging="0" w:left="360" w:right="0"/>
      </w:pPr>
      <w:hyperlink r:id="rId4">
        <w:r>
          <w:rPr>
            <w:rStyle w:val="style16"/>
            <w:sz w:val="22"/>
            <w:szCs w:val="22"/>
            <w:bCs/>
            <w:rStyle w:val="style16"/>
            <w:rFonts w:ascii="Arial" w:cs="Arial" w:hAnsi="Arial"/>
            <w:lang w:val="es-PA"/>
          </w:rPr>
          <w:t>http://www.mma.gov.br/educacao-ambiental/formacao-de-educadores/saneamento</w:t>
        </w:r>
      </w:hyperlink>
    </w:p>
    <w:p>
      <w:pPr>
        <w:pStyle w:val="style0"/>
        <w:jc w:val="both"/>
        <w:ind w:hanging="0" w:left="360" w:right="0"/>
      </w:pPr>
      <w:r>
        <w:rPr>
          <w:sz w:val="22"/>
          <w:szCs w:val="22"/>
          <w:bCs/>
          <w:rFonts w:ascii="Arial" w:cs="Arial" w:hAnsi="Arial"/>
          <w:lang w:val="es-PA"/>
        </w:rPr>
        <w:t>http://www.mma.gov.br/educacao-ambiental/formacao-de-educadores/unidades-de-conservacao</w:t>
      </w:r>
    </w:p>
    <w:p>
      <w:pPr>
        <w:pStyle w:val="style0"/>
        <w:jc w:val="both"/>
      </w:pPr>
      <w:r>
        <w:rPr/>
      </w:r>
    </w:p>
    <w:p>
      <w:pPr>
        <w:pStyle w:val="style0"/>
        <w:numPr>
          <w:ilvl w:val="0"/>
          <w:numId w:val="1"/>
        </w:numPr>
        <w:jc w:val="both"/>
        <w:ind w:hanging="0" w:left="360" w:right="0"/>
      </w:pPr>
      <w:r>
        <w:rPr>
          <w:sz w:val="22"/>
          <w:szCs w:val="22"/>
          <w:bCs/>
          <w:rFonts w:ascii="Arial" w:cs="Arial" w:hAnsi="Arial"/>
          <w:lang w:val="es-PA"/>
        </w:rPr>
        <w:t xml:space="preserve">¿Cuáles son las </w:t>
      </w:r>
      <w:r>
        <w:rPr>
          <w:sz w:val="22"/>
          <w:b/>
          <w:szCs w:val="22"/>
          <w:bCs/>
          <w:rFonts w:ascii="Arial" w:cs="Arial" w:hAnsi="Arial"/>
          <w:lang w:val="es-PA"/>
        </w:rPr>
        <w:t>instituciones encargadas</w:t>
      </w:r>
      <w:r>
        <w:rPr>
          <w:sz w:val="22"/>
          <w:szCs w:val="22"/>
          <w:bCs/>
          <w:rFonts w:ascii="Arial" w:cs="Arial" w:hAnsi="Arial"/>
          <w:lang w:val="es-PA"/>
        </w:rPr>
        <w:t xml:space="preserve"> de la implementación de la estrategia, política, plan nacional o programa sobre educación ambiental?</w:t>
      </w:r>
    </w:p>
    <w:p>
      <w:pPr>
        <w:pStyle w:val="style0"/>
        <w:jc w:val="both"/>
        <w:ind w:hanging="0" w:left="360" w:right="0"/>
      </w:pPr>
      <w:r>
        <w:rPr>
          <w:sz w:val="22"/>
          <w:szCs w:val="22"/>
          <w:bCs/>
          <w:rFonts w:ascii="Arial" w:cs="Arial" w:hAnsi="Arial"/>
          <w:lang w:val="es-PA"/>
        </w:rPr>
        <w:t>Órgão Gestor – Composto pelo Ministério de Meio Ambiente e Ministério da Educação</w:t>
      </w:r>
    </w:p>
    <w:p>
      <w:pPr>
        <w:pStyle w:val="style0"/>
        <w:jc w:val="both"/>
        <w:ind w:hanging="0" w:left="360" w:right="0"/>
      </w:pPr>
      <w:r>
        <w:rPr>
          <w:sz w:val="22"/>
          <w:szCs w:val="22"/>
          <w:bCs/>
          <w:rFonts w:ascii="Arial" w:cs="Arial" w:hAnsi="Arial"/>
          <w:lang w:val="es-PA"/>
        </w:rPr>
        <w:t>Comitê Assessor – Composto por 13 instituições da Sociedade Civil</w:t>
      </w:r>
    </w:p>
    <w:p>
      <w:pPr>
        <w:pStyle w:val="style0"/>
        <w:jc w:val="both"/>
        <w:ind w:hanging="0" w:left="360" w:right="0"/>
      </w:pPr>
      <w:r>
        <w:rPr>
          <w:sz w:val="22"/>
          <w:szCs w:val="22"/>
          <w:bCs/>
          <w:rFonts w:ascii="Arial" w:cs="Arial" w:hAnsi="Arial"/>
          <w:lang w:val="es-PA"/>
        </w:rPr>
        <w:t xml:space="preserve">CIEAs – Comissões Interisntitucionais Estaduais de Educação Ambiental </w:t>
      </w:r>
    </w:p>
    <w:p>
      <w:pPr>
        <w:pStyle w:val="style0"/>
        <w:jc w:val="both"/>
        <w:ind w:hanging="0" w:left="360" w:right="0"/>
      </w:pPr>
      <w:r>
        <w:rPr>
          <w:sz w:val="22"/>
          <w:szCs w:val="22"/>
          <w:bCs/>
          <w:rFonts w:ascii="Arial" w:cs="Arial" w:hAnsi="Arial"/>
          <w:lang w:val="es-PA"/>
        </w:rPr>
        <w:t>Rebea – Rede Brasileira de Educação Ambiental</w:t>
      </w:r>
    </w:p>
    <w:p>
      <w:pPr>
        <w:pStyle w:val="style0"/>
        <w:jc w:val="both"/>
        <w:ind w:hanging="0" w:left="360" w:right="0"/>
      </w:pPr>
      <w:r>
        <w:rPr>
          <w:sz w:val="22"/>
          <w:szCs w:val="22"/>
          <w:bCs/>
          <w:rFonts w:ascii="Arial" w:cs="Arial" w:hAnsi="Arial"/>
          <w:lang w:val="es-PA"/>
        </w:rPr>
        <w:t>Sibea – Sistema Brasileiro de Informações sobre Educação Ambiental</w:t>
      </w:r>
    </w:p>
    <w:p>
      <w:pPr>
        <w:pStyle w:val="style0"/>
        <w:jc w:val="both"/>
        <w:ind w:hanging="0" w:left="360" w:right="0"/>
      </w:pPr>
      <w:r>
        <w:rPr>
          <w:sz w:val="22"/>
          <w:szCs w:val="22"/>
          <w:bCs/>
          <w:rFonts w:ascii="Arial" w:cs="Arial" w:hAnsi="Arial"/>
          <w:lang w:val="es-PA"/>
        </w:rPr>
        <w:t>OEAMAs – Órgãos Estaduais de Meio Ambiente</w:t>
      </w:r>
    </w:p>
    <w:p>
      <w:pPr>
        <w:pStyle w:val="style0"/>
        <w:jc w:val="both"/>
        <w:ind w:hanging="0" w:left="360" w:right="0"/>
      </w:pPr>
      <w:r>
        <w:rPr>
          <w:sz w:val="22"/>
          <w:szCs w:val="22"/>
          <w:bCs/>
          <w:rFonts w:ascii="Arial" w:cs="Arial" w:hAnsi="Arial"/>
          <w:lang w:val="es-PA"/>
        </w:rPr>
        <w:t>Seducs – Secretarias Estaduais de Educação</w:t>
      </w:r>
    </w:p>
    <w:p>
      <w:pPr>
        <w:pStyle w:val="style0"/>
        <w:jc w:val="both"/>
        <w:ind w:hanging="0" w:left="360" w:right="0"/>
      </w:pPr>
      <w:r>
        <w:rPr>
          <w:sz w:val="22"/>
          <w:szCs w:val="22"/>
          <w:bCs/>
          <w:rFonts w:ascii="Arial" w:cs="Arial" w:hAnsi="Arial"/>
          <w:lang w:val="es-PA"/>
        </w:rPr>
        <w:t>Organizações da sociedade civil</w:t>
      </w:r>
    </w:p>
    <w:p>
      <w:pPr>
        <w:pStyle w:val="style0"/>
        <w:jc w:val="both"/>
        <w:ind w:hanging="0" w:left="360" w:right="0"/>
      </w:pPr>
      <w:r>
        <w:rPr>
          <w:sz w:val="22"/>
          <w:szCs w:val="22"/>
          <w:bCs/>
          <w:rFonts w:ascii="Arial" w:cs="Arial" w:hAnsi="Arial"/>
          <w:lang w:val="es-PA"/>
        </w:rPr>
        <w:t>Coletivos Educadores, Coletivos Jovens, Salas Verdes e Com-vidas (comissões de meio ambiente e qualidade de vida nas escolas)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  <w:ind w:hanging="0" w:left="360" w:right="0"/>
      </w:pPr>
      <w:r>
        <w:rPr/>
      </w:r>
    </w:p>
    <w:p>
      <w:pPr>
        <w:pStyle w:val="style0"/>
        <w:numPr>
          <w:ilvl w:val="0"/>
          <w:numId w:val="1"/>
        </w:numPr>
        <w:jc w:val="both"/>
        <w:ind w:hanging="0" w:left="360" w:right="0"/>
      </w:pPr>
      <w:bookmarkStart w:id="0" w:name="__DdeLink__725_270159843"/>
      <w:r>
        <w:rPr>
          <w:sz w:val="22"/>
          <w:szCs w:val="22"/>
          <w:bCs/>
          <w:rFonts w:ascii="Arial" w:cs="Arial" w:hAnsi="Arial"/>
          <w:lang w:val="es-PA"/>
        </w:rPr>
        <w:t xml:space="preserve">Desde su punto de vista, ¿cuáles serían los </w:t>
      </w:r>
      <w:r>
        <w:rPr>
          <w:sz w:val="22"/>
          <w:b/>
          <w:szCs w:val="22"/>
          <w:bCs/>
          <w:rFonts w:ascii="Arial" w:cs="Arial" w:hAnsi="Arial"/>
          <w:lang w:val="es-PA"/>
        </w:rPr>
        <w:t>avances positivos</w:t>
      </w:r>
      <w:bookmarkEnd w:id="0"/>
      <w:r>
        <w:rPr>
          <w:sz w:val="22"/>
          <w:szCs w:val="22"/>
          <w:bCs/>
          <w:rFonts w:ascii="Arial" w:cs="Arial" w:hAnsi="Arial"/>
          <w:lang w:val="es-PA"/>
        </w:rPr>
        <w:t xml:space="preserve"> en la implementación de la política, estrategia plan nacional o programas sobre educación ambiental en su país, en los últimos 3 años?</w:t>
      </w:r>
    </w:p>
    <w:p>
      <w:pPr>
        <w:pStyle w:val="style0"/>
        <w:jc w:val="both"/>
        <w:ind w:hanging="0" w:left="360" w:right="0"/>
      </w:pPr>
      <w:r>
        <w:rPr>
          <w:sz w:val="22"/>
          <w:szCs w:val="22"/>
          <w:bCs/>
          <w:rFonts w:ascii="Arial" w:cs="Arial" w:hAnsi="Arial"/>
          <w:lang w:val="es-PA"/>
        </w:rPr>
        <w:t>Atuação conjunta entre o Ministerio do Meio Ambiente e Ministerio da Educação</w:t>
      </w:r>
    </w:p>
    <w:p>
      <w:pPr>
        <w:pStyle w:val="style0"/>
        <w:jc w:val="both"/>
        <w:ind w:hanging="0" w:left="360" w:right="0"/>
      </w:pPr>
      <w:r>
        <w:rPr>
          <w:sz w:val="22"/>
          <w:szCs w:val="22"/>
          <w:bCs/>
          <w:rFonts w:ascii="Arial" w:cs="Arial" w:hAnsi="Arial"/>
          <w:lang w:val="es-PA"/>
        </w:rPr>
        <w:t>Fortalecimento do componente de educação ambiental nas políticas de meio ambiente</w:t>
      </w:r>
    </w:p>
    <w:p>
      <w:pPr>
        <w:pStyle w:val="style0"/>
        <w:jc w:val="both"/>
        <w:ind w:hanging="0" w:left="360" w:right="0"/>
      </w:pPr>
      <w:r>
        <w:rPr>
          <w:sz w:val="22"/>
          <w:szCs w:val="22"/>
          <w:bCs/>
          <w:rFonts w:ascii="Arial" w:cs="Arial" w:hAnsi="Arial"/>
          <w:lang w:val="es-PA"/>
        </w:rPr>
        <w:t>Realização de procesos continuados de articulação, educomunicação e formação de educadores ambientais</w:t>
      </w:r>
    </w:p>
    <w:p>
      <w:pPr>
        <w:pStyle w:val="style0"/>
        <w:jc w:val="both"/>
        <w:ind w:hanging="0" w:left="360" w:right="0"/>
      </w:pPr>
      <w:r>
        <w:rPr>
          <w:sz w:val="22"/>
          <w:szCs w:val="22"/>
          <w:bCs/>
          <w:rFonts w:ascii="Arial" w:cs="Arial" w:hAnsi="Arial"/>
          <w:lang w:val="es-PA"/>
        </w:rPr>
        <w:t>Educação ambiental na gestão pública</w:t>
      </w:r>
    </w:p>
    <w:p>
      <w:pPr>
        <w:pStyle w:val="style0"/>
        <w:jc w:val="both"/>
        <w:ind w:hanging="0" w:left="360" w:right="0"/>
      </w:pPr>
      <w:r>
        <w:rPr>
          <w:sz w:val="22"/>
          <w:szCs w:val="22"/>
          <w:bCs/>
          <w:rFonts w:ascii="Arial" w:cs="Arial" w:hAnsi="Arial"/>
          <w:lang w:val="es-PA"/>
        </w:rPr>
        <w:t>Existência de Comissões Estaduais de Educação Ambiental  em 26 Unidades da Fedração das 27 existentes</w:t>
      </w:r>
    </w:p>
    <w:p>
      <w:pPr>
        <w:pStyle w:val="style0"/>
        <w:jc w:val="both"/>
        <w:ind w:hanging="0" w:left="360" w:right="0"/>
      </w:pPr>
      <w:r>
        <w:rPr/>
      </w:r>
    </w:p>
    <w:p>
      <w:pPr>
        <w:pStyle w:val="style35"/>
        <w:jc w:val="both"/>
      </w:pPr>
      <w:r>
        <w:rPr/>
      </w:r>
    </w:p>
    <w:p>
      <w:pPr>
        <w:pStyle w:val="style0"/>
        <w:numPr>
          <w:ilvl w:val="0"/>
          <w:numId w:val="1"/>
        </w:numPr>
        <w:jc w:val="both"/>
        <w:ind w:hanging="0" w:left="360" w:right="0"/>
      </w:pPr>
      <w:r>
        <w:rPr>
          <w:sz w:val="22"/>
          <w:szCs w:val="22"/>
          <w:bCs/>
          <w:rFonts w:ascii="Arial" w:cs="Arial" w:hAnsi="Arial"/>
          <w:lang w:val="es-PA"/>
        </w:rPr>
        <w:t xml:space="preserve">Desde su punto de vista, ¿cuáles serían los </w:t>
      </w:r>
      <w:r>
        <w:rPr>
          <w:sz w:val="22"/>
          <w:b/>
          <w:szCs w:val="22"/>
          <w:bCs/>
          <w:rFonts w:ascii="Arial" w:cs="Arial" w:hAnsi="Arial"/>
          <w:lang w:val="es-PA"/>
        </w:rPr>
        <w:t>principales obstáculos</w:t>
      </w:r>
      <w:r>
        <w:rPr>
          <w:sz w:val="22"/>
          <w:szCs w:val="22"/>
          <w:bCs/>
          <w:rFonts w:ascii="Arial" w:cs="Arial" w:hAnsi="Arial"/>
          <w:lang w:val="es-PA"/>
        </w:rPr>
        <w:t xml:space="preserve"> que ha enfrentado la implementación de la política, estrategia, o plan nacional de educación ambiental en su país?</w:t>
      </w:r>
    </w:p>
    <w:p>
      <w:pPr>
        <w:pStyle w:val="style0"/>
        <w:jc w:val="both"/>
        <w:ind w:hanging="0" w:left="360" w:right="0"/>
      </w:pPr>
      <w:r>
        <w:rPr>
          <w:sz w:val="22"/>
          <w:szCs w:val="22"/>
          <w:bCs/>
          <w:rFonts w:ascii="Arial" w:cs="Arial" w:hAnsi="Arial"/>
          <w:lang w:val="es-PA"/>
        </w:rPr>
        <w:t>Avaliação e monitoramento das ações de educação ambiental</w:t>
      </w:r>
    </w:p>
    <w:p>
      <w:pPr>
        <w:pStyle w:val="style0"/>
        <w:jc w:val="both"/>
        <w:ind w:hanging="0" w:left="360" w:right="0"/>
      </w:pPr>
      <w:r>
        <w:rPr>
          <w:sz w:val="22"/>
          <w:szCs w:val="22"/>
          <w:bCs/>
          <w:rFonts w:ascii="Arial" w:cs="Arial" w:hAnsi="Arial"/>
          <w:lang w:val="es-PA"/>
        </w:rPr>
        <w:t>Definição de indicadores</w:t>
      </w:r>
    </w:p>
    <w:p>
      <w:pPr>
        <w:pStyle w:val="style0"/>
        <w:jc w:val="both"/>
        <w:ind w:hanging="0" w:left="360" w:right="0"/>
      </w:pPr>
      <w:r>
        <w:rPr>
          <w:sz w:val="22"/>
          <w:szCs w:val="22"/>
          <w:bCs/>
          <w:rFonts w:ascii="Arial" w:cs="Arial" w:hAnsi="Arial"/>
          <w:lang w:val="es-PA"/>
        </w:rPr>
        <w:t>Falta de recursos técnicos e financeiros</w:t>
      </w:r>
    </w:p>
    <w:p>
      <w:pPr>
        <w:pStyle w:val="style0"/>
        <w:jc w:val="both"/>
        <w:ind w:hanging="0" w:left="360" w:right="0"/>
      </w:pPr>
      <w:r>
        <w:rPr>
          <w:sz w:val="22"/>
          <w:szCs w:val="22"/>
          <w:bCs/>
          <w:rFonts w:ascii="Arial" w:cs="Arial" w:hAnsi="Arial"/>
          <w:lang w:val="es-PA"/>
        </w:rPr>
        <w:t>Obter escala assecugarndo o caráter crítico e emancipatório dos processos educadivos</w:t>
      </w:r>
    </w:p>
    <w:p>
      <w:pPr>
        <w:pStyle w:val="style35"/>
      </w:pPr>
      <w:r>
        <w:rPr/>
      </w:r>
    </w:p>
    <w:p>
      <w:pPr>
        <w:pStyle w:val="style0"/>
        <w:numPr>
          <w:ilvl w:val="0"/>
          <w:numId w:val="1"/>
        </w:numPr>
        <w:jc w:val="both"/>
        <w:ind w:hanging="0" w:left="360" w:right="0"/>
      </w:pPr>
      <w:r>
        <w:rPr>
          <w:sz w:val="22"/>
          <w:szCs w:val="22"/>
          <w:bCs/>
          <w:rFonts w:ascii="Arial" w:cs="Arial" w:hAnsi="Arial"/>
          <w:lang w:val="es-PA"/>
        </w:rPr>
        <w:t>¿Qué puntos en particular quisiera conocer sobre políticas, estrategias, planes nacionales, sub-regional o regionales o programas de educación ambiental que actualmente están siendo implementados en otros países de América Latina?</w:t>
      </w:r>
    </w:p>
    <w:p>
      <w:pPr>
        <w:pStyle w:val="style0"/>
        <w:jc w:val="both"/>
        <w:ind w:hanging="0" w:left="360" w:right="0"/>
      </w:pPr>
      <w:r>
        <w:rPr>
          <w:sz w:val="22"/>
          <w:szCs w:val="22"/>
          <w:bCs/>
          <w:rFonts w:ascii="Arial" w:cs="Arial" w:hAnsi="Arial"/>
          <w:lang w:val="es-PA"/>
        </w:rPr>
        <w:t>Indicadores</w:t>
      </w:r>
    </w:p>
    <w:p>
      <w:pPr>
        <w:pStyle w:val="style0"/>
        <w:jc w:val="both"/>
        <w:ind w:hanging="0" w:left="360" w:right="0"/>
      </w:pPr>
      <w:r>
        <w:rPr>
          <w:sz w:val="22"/>
          <w:szCs w:val="22"/>
          <w:bCs/>
          <w:rFonts w:ascii="Arial" w:cs="Arial" w:hAnsi="Arial"/>
          <w:lang w:val="es-PA"/>
        </w:rPr>
        <w:t>Ações estruturantes</w:t>
      </w:r>
    </w:p>
    <w:p>
      <w:pPr>
        <w:pStyle w:val="style35"/>
      </w:pPr>
      <w:r>
        <w:rPr/>
      </w:r>
    </w:p>
    <w:p>
      <w:pPr>
        <w:pStyle w:val="style0"/>
        <w:numPr>
          <w:ilvl w:val="0"/>
          <w:numId w:val="1"/>
        </w:numPr>
        <w:jc w:val="both"/>
        <w:ind w:hanging="0" w:left="360" w:right="0"/>
      </w:pPr>
      <w:r>
        <w:rPr>
          <w:sz w:val="22"/>
          <w:szCs w:val="22"/>
          <w:bCs/>
          <w:rFonts w:ascii="Arial" w:cs="Arial" w:hAnsi="Arial"/>
          <w:lang w:val="es-PA"/>
        </w:rPr>
        <w:t>Señala el/las área(s) prioritaria(s) en la que se concentra la política, estrategia, plan nacional o programas sobre educación ambiental en su país, en relación al cuadro que verá debajo (marcando una X) y en relación a las líneas de acción contenidas en la política, estrategia o plan nacional de su país.</w:t>
      </w:r>
    </w:p>
    <w:p>
      <w:pPr>
        <w:pStyle w:val="style35"/>
      </w:pPr>
      <w:r>
        <w:rPr/>
      </w:r>
    </w:p>
    <w:tbl>
      <w:tblPr>
        <w:tblW w:type="dxa" w:w="8306"/>
        <w:tblBorders>
          <w:bottom w:color="D9D9D9" w:space="0" w:sz="2" w:val="single"/>
          <w:right w:color="FF0000" w:space="0" w:sz="18" w:val="single"/>
        </w:tblBorders>
        <w:jc w:val="left"/>
        <w:tblInd w:type="dxa" w:w="-108"/>
      </w:tblPr>
      <w:tblGrid>
        <w:gridCol w:w="1661"/>
        <w:gridCol w:w="3322"/>
        <w:gridCol w:w="4983"/>
        <w:gridCol w:w="6644"/>
        <w:gridCol w:w="8306"/>
      </w:tblGrid>
      <w:tr>
        <w:trPr>
          <w:trHeight w:hRule="atLeast" w:val="277"/>
          <w:cantSplit w:val="off"/>
        </w:trPr>
        <w:tc>
          <w:tcPr>
            <w:tcBorders>
              <w:bottom w:color="D9D9D9" w:space="0" w:sz="2" w:val="single"/>
              <w:right w:color="FF0000" w:space="0" w:sz="18" w:val="single"/>
            </w:tcBorders>
            <w:shd w:fill="FFFFFF"/>
            <w:tcW w:type="dxa" w:w="16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2"/>
                <w:szCs w:val="22"/>
                <w:rFonts w:ascii="Calibri" w:cs="Arial" w:eastAsia="Times New Roman" w:hAnsi="Calibri"/>
                <w:lang w:val="es-PA"/>
              </w:rPr>
              <w:t> </w:t>
            </w:r>
            <w:r>
              <w:rPr>
                <w:color w:val="000000"/>
                <w:sz w:val="22"/>
                <w:szCs w:val="22"/>
                <w:rFonts w:ascii="Calibri" w:eastAsia="Calibri" w:hAnsi="Calibri"/>
                <w:lang w:val="es-PA"/>
              </w:rPr>
              <w:t xml:space="preserve"> </w:t>
            </w:r>
          </w:p>
        </w:tc>
        <w:tc>
          <w:tcPr>
            <w:tcBorders>
              <w:left w:color="FF0000" w:space="0" w:sz="18" w:val="single"/>
              <w:bottom w:color="D9D9D9" w:space="0" w:sz="2" w:val="single"/>
              <w:right w:color="FF0000" w:space="0" w:sz="18" w:val="single"/>
            </w:tcBorders>
            <w:shd w:fill="FFFFFF"/>
            <w:tcW w:type="dxa" w:w="33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115" w:right="115"/>
            </w:pPr>
            <w:r>
              <w:rPr>
                <w:color w:val="A6A6A6"/>
                <w:sz w:val="22"/>
                <w:szCs w:val="22"/>
                <w:rFonts w:ascii="Calibri" w:cs="Arial" w:eastAsia="Times New Roman" w:hAnsi="Calibri"/>
                <w:lang w:val="es-PA"/>
              </w:rPr>
              <w:t xml:space="preserve">Desarrollo de </w:t>
            </w:r>
            <w:r>
              <w:rPr>
                <w:color w:val="A6A6A6"/>
                <w:sz w:val="22"/>
                <w:b/>
                <w:szCs w:val="22"/>
                <w:bCs/>
                <w:rFonts w:ascii="Calibri" w:cs="Arial" w:eastAsia="Times New Roman" w:hAnsi="Calibri"/>
                <w:lang w:val="es-PA"/>
              </w:rPr>
              <w:t>capacidades</w:t>
            </w:r>
            <w:r>
              <w:rPr>
                <w:color w:val="A6A6A6"/>
                <w:sz w:val="22"/>
                <w:b/>
                <w:szCs w:val="22"/>
                <w:bCs/>
                <w:rFonts w:ascii="Calibri" w:eastAsia="Calibri" w:hAnsi="Calibri"/>
                <w:lang w:val="es-PA"/>
              </w:rPr>
              <w:t xml:space="preserve"> </w:t>
            </w:r>
          </w:p>
        </w:tc>
        <w:tc>
          <w:tcPr>
            <w:tcBorders>
              <w:left w:color="FF0000" w:space="0" w:sz="18" w:val="single"/>
              <w:bottom w:color="D9D9D9" w:space="0" w:sz="2" w:val="single"/>
              <w:right w:color="FF0000" w:space="0" w:sz="18" w:val="single"/>
            </w:tcBorders>
            <w:shd w:fill="FFFFFF"/>
            <w:tcW w:type="dxa" w:w="49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115" w:right="115"/>
            </w:pPr>
            <w:r>
              <w:rPr>
                <w:color w:val="A6A6A6"/>
                <w:sz w:val="22"/>
                <w:szCs w:val="22"/>
                <w:rFonts w:ascii="Calibri" w:cs="Arial" w:eastAsia="Times New Roman" w:hAnsi="Calibri"/>
                <w:lang w:val="es-PA"/>
              </w:rPr>
              <w:t xml:space="preserve">Gestión </w:t>
            </w:r>
            <w:r>
              <w:rPr>
                <w:color w:val="A6A6A6"/>
                <w:sz w:val="22"/>
                <w:b/>
                <w:szCs w:val="22"/>
                <w:bCs/>
                <w:rFonts w:ascii="Calibri" w:cs="Arial" w:eastAsia="Times New Roman" w:hAnsi="Calibri"/>
                <w:lang w:val="es-PA"/>
              </w:rPr>
              <w:t>conocimiento</w:t>
            </w:r>
            <w:r>
              <w:rPr>
                <w:color w:val="A6A6A6"/>
                <w:sz w:val="22"/>
                <w:b/>
                <w:szCs w:val="22"/>
                <w:bCs/>
                <w:rFonts w:ascii="Calibri" w:eastAsia="Calibri" w:hAnsi="Calibri"/>
                <w:lang w:val="es-PA"/>
              </w:rPr>
              <w:t xml:space="preserve"> </w:t>
            </w:r>
          </w:p>
        </w:tc>
        <w:tc>
          <w:tcPr>
            <w:tcBorders>
              <w:left w:color="FF0000" w:space="0" w:sz="18" w:val="single"/>
              <w:bottom w:color="D9D9D9" w:space="0" w:sz="2" w:val="single"/>
              <w:right w:color="FF0000" w:space="0" w:sz="18" w:val="single"/>
            </w:tcBorders>
            <w:shd w:fill="FFFFFF"/>
            <w:tcW w:type="dxa" w:w="66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115" w:right="115"/>
            </w:pPr>
            <w:r>
              <w:rPr>
                <w:color w:val="A6A6A6"/>
                <w:sz w:val="22"/>
                <w:b/>
                <w:szCs w:val="22"/>
                <w:bCs/>
                <w:rFonts w:ascii="Calibri" w:cs="Arial" w:eastAsia="Times New Roman" w:hAnsi="Calibri"/>
                <w:lang w:val="es-PA"/>
              </w:rPr>
              <w:t>Instrumentos</w:t>
            </w:r>
            <w:r>
              <w:rPr>
                <w:color w:val="A6A6A6"/>
                <w:sz w:val="22"/>
                <w:szCs w:val="22"/>
                <w:rFonts w:ascii="Calibri" w:cs="Arial" w:eastAsia="Times New Roman" w:hAnsi="Calibri"/>
                <w:lang w:val="es-PA"/>
              </w:rPr>
              <w:t xml:space="preserve"> de gestión </w:t>
            </w:r>
          </w:p>
        </w:tc>
        <w:tc>
          <w:tcPr>
            <w:tcBorders>
              <w:left w:color="FF0000" w:space="0" w:sz="18" w:val="single"/>
              <w:bottom w:color="D9D9D9" w:space="0" w:sz="2" w:val="single"/>
              <w:right w:color="FF0000" w:space="0" w:sz="18" w:val="single"/>
            </w:tcBorders>
            <w:shd w:fill="FFFFFF"/>
            <w:tcW w:type="dxa" w:w="83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115" w:right="115"/>
            </w:pPr>
            <w:r>
              <w:rPr>
                <w:color w:val="A6A6A6"/>
                <w:sz w:val="22"/>
                <w:szCs w:val="22"/>
                <w:rFonts w:ascii="Calibri" w:cs="Arial" w:eastAsia="Times New Roman" w:hAnsi="Calibri"/>
                <w:lang w:val="es-PA"/>
              </w:rPr>
              <w:t xml:space="preserve">Desarrollo </w:t>
            </w:r>
            <w:r>
              <w:rPr>
                <w:color w:val="A6A6A6"/>
                <w:sz w:val="22"/>
                <w:b/>
                <w:szCs w:val="22"/>
                <w:bCs/>
                <w:rFonts w:ascii="Calibri" w:cs="Arial" w:eastAsia="Times New Roman" w:hAnsi="Calibri"/>
                <w:lang w:val="es-PA"/>
              </w:rPr>
              <w:t>local</w:t>
            </w:r>
            <w:r>
              <w:rPr>
                <w:color w:val="A6A6A6"/>
                <w:sz w:val="22"/>
                <w:b/>
                <w:szCs w:val="22"/>
                <w:bCs/>
                <w:rFonts w:ascii="Calibri" w:eastAsia="Calibri" w:hAnsi="Calibri"/>
                <w:lang w:val="es-PA"/>
              </w:rPr>
              <w:t xml:space="preserve"> </w:t>
            </w:r>
          </w:p>
        </w:tc>
      </w:tr>
      <w:tr>
        <w:trPr>
          <w:trHeight w:hRule="atLeast" w:val="277"/>
          <w:cantSplit w:val="off"/>
        </w:trPr>
        <w:tc>
          <w:tcPr>
            <w:tcBorders>
              <w:top w:color="D9D9D9" w:space="0" w:sz="2" w:val="single"/>
              <w:bottom w:color="D9D9D9" w:space="0" w:sz="2" w:val="single"/>
              <w:right w:color="FF0000" w:space="0" w:sz="18" w:val="single"/>
            </w:tcBorders>
            <w:shd w:fill="A6A6A6"/>
            <w:tcW w:type="dxa" w:w="16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40" w:lineRule="atLeast"/>
            </w:pPr>
            <w:r>
              <w:rPr>
                <w:color w:val="FFFFFF"/>
                <w:sz w:val="22"/>
                <w:shadow/>
                <w:b/>
                <w:szCs w:val="22"/>
                <w:rFonts w:ascii="Calibri" w:cs="Arial" w:eastAsia="Times New Roman" w:hAnsi="Calibri"/>
                <w:lang w:val="es-PA"/>
              </w:rPr>
              <w:t>Eficiencia de Recursos</w:t>
            </w:r>
          </w:p>
        </w:tc>
        <w:tc>
          <w:tcPr>
            <w:tcBorders>
              <w:top w:color="D9D9D9" w:space="0" w:sz="2" w:val="single"/>
              <w:left w:color="FF0000" w:space="0" w:sz="18" w:val="single"/>
              <w:bottom w:color="D9D9D9" w:space="0" w:sz="2" w:val="single"/>
              <w:right w:color="FF0000" w:space="0" w:sz="18" w:val="single"/>
            </w:tcBorders>
            <w:shd w:fill="FFFFFF"/>
            <w:tcW w:type="dxa" w:w="33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rFonts w:ascii="Arial" w:cs="Arial" w:eastAsia="Times New Roman" w:hAnsi="Arial"/>
                <w:lang w:val="es-PA"/>
              </w:rPr>
              <w:t>x</w:t>
            </w:r>
          </w:p>
        </w:tc>
        <w:tc>
          <w:tcPr>
            <w:tcBorders>
              <w:top w:color="D9D9D9" w:space="0" w:sz="2" w:val="single"/>
              <w:left w:color="FF0000" w:space="0" w:sz="18" w:val="single"/>
              <w:bottom w:color="D9D9D9" w:space="0" w:sz="2" w:val="single"/>
              <w:right w:color="FF0000" w:space="0" w:sz="18" w:val="single"/>
            </w:tcBorders>
            <w:shd w:fill="FFFFFF"/>
            <w:tcW w:type="dxa" w:w="49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D9D9D9" w:space="0" w:sz="2" w:val="single"/>
              <w:left w:color="FF0000" w:space="0" w:sz="18" w:val="single"/>
              <w:bottom w:color="D9D9D9" w:space="0" w:sz="2" w:val="single"/>
              <w:right w:color="FF0000" w:space="0" w:sz="18" w:val="single"/>
            </w:tcBorders>
            <w:shd w:fill="FFFFFF"/>
            <w:tcW w:type="dxa" w:w="66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rFonts w:ascii="Arial" w:cs="Arial" w:eastAsia="Times New Roman" w:hAnsi="Arial"/>
                <w:lang w:val="es-PA"/>
              </w:rPr>
              <w:t>x</w:t>
            </w:r>
          </w:p>
        </w:tc>
        <w:tc>
          <w:tcPr>
            <w:tcBorders>
              <w:top w:color="D9D9D9" w:space="0" w:sz="2" w:val="single"/>
              <w:left w:color="FF0000" w:space="0" w:sz="18" w:val="single"/>
              <w:bottom w:color="D9D9D9" w:space="0" w:sz="2" w:val="single"/>
              <w:right w:color="FF0000" w:space="0" w:sz="18" w:val="single"/>
            </w:tcBorders>
            <w:shd w:fill="FFFFFF"/>
            <w:tcW w:type="dxa" w:w="83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rFonts w:ascii="Arial" w:cs="Arial" w:eastAsia="Times New Roman" w:hAnsi="Arial"/>
                <w:lang w:val="es-PA"/>
              </w:rPr>
              <w:t>x</w:t>
            </w:r>
          </w:p>
        </w:tc>
      </w:tr>
      <w:tr>
        <w:trPr>
          <w:trHeight w:hRule="atLeast" w:val="277"/>
          <w:cantSplit w:val="off"/>
        </w:trPr>
        <w:tc>
          <w:tcPr>
            <w:tcBorders>
              <w:top w:color="D9D9D9" w:space="0" w:sz="2" w:val="single"/>
              <w:bottom w:color="D9D9D9" w:space="0" w:sz="2" w:val="single"/>
              <w:right w:color="FF0000" w:space="0" w:sz="18" w:val="single"/>
            </w:tcBorders>
            <w:shd w:fill="A6A6A6"/>
            <w:tcW w:type="dxa" w:w="16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36" w:lineRule="atLeast"/>
            </w:pPr>
            <w:r>
              <w:rPr>
                <w:color w:val="FFFFFF"/>
                <w:sz w:val="22"/>
                <w:b/>
                <w:szCs w:val="22"/>
                <w:rFonts w:ascii="Calibri" w:cs="Arial" w:eastAsia="Times New Roman" w:hAnsi="Calibri"/>
                <w:lang w:val="es-PA"/>
              </w:rPr>
              <w:t>Gobernanza Ambiental</w:t>
            </w:r>
          </w:p>
        </w:tc>
        <w:tc>
          <w:tcPr>
            <w:tcBorders>
              <w:top w:color="D9D9D9" w:space="0" w:sz="2" w:val="single"/>
              <w:left w:color="FF0000" w:space="0" w:sz="18" w:val="single"/>
              <w:bottom w:color="D9D9D9" w:space="0" w:sz="2" w:val="single"/>
              <w:right w:color="FF0000" w:space="0" w:sz="18" w:val="single"/>
            </w:tcBorders>
            <w:shd w:fill="FFFFFF"/>
            <w:tcW w:type="dxa" w:w="33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rFonts w:ascii="Arial" w:cs="Arial" w:eastAsia="Times New Roman" w:hAnsi="Arial"/>
                <w:lang w:val="es-PA"/>
              </w:rPr>
              <w:t>x</w:t>
            </w:r>
          </w:p>
        </w:tc>
        <w:tc>
          <w:tcPr>
            <w:tcBorders>
              <w:top w:color="D9D9D9" w:space="0" w:sz="2" w:val="single"/>
              <w:left w:color="FF0000" w:space="0" w:sz="18" w:val="single"/>
              <w:bottom w:color="D9D9D9" w:space="0" w:sz="2" w:val="single"/>
              <w:right w:color="FF0000" w:space="0" w:sz="18" w:val="single"/>
            </w:tcBorders>
            <w:shd w:fill="FFFFFF"/>
            <w:tcW w:type="dxa" w:w="49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rFonts w:ascii="Arial" w:cs="Arial" w:eastAsia="Times New Roman" w:hAnsi="Arial"/>
                <w:lang w:val="es-PA"/>
              </w:rPr>
              <w:t>x</w:t>
            </w:r>
          </w:p>
        </w:tc>
        <w:tc>
          <w:tcPr>
            <w:tcBorders>
              <w:top w:color="D9D9D9" w:space="0" w:sz="2" w:val="single"/>
              <w:left w:color="FF0000" w:space="0" w:sz="18" w:val="single"/>
              <w:bottom w:color="D9D9D9" w:space="0" w:sz="2" w:val="single"/>
              <w:right w:color="FF0000" w:space="0" w:sz="18" w:val="single"/>
            </w:tcBorders>
            <w:shd w:fill="FFFFFF"/>
            <w:tcW w:type="dxa" w:w="66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rFonts w:ascii="Arial" w:cs="Arial" w:eastAsia="Times New Roman" w:hAnsi="Arial"/>
                <w:lang w:val="es-PA"/>
              </w:rPr>
              <w:t>x</w:t>
            </w:r>
          </w:p>
        </w:tc>
        <w:tc>
          <w:tcPr>
            <w:tcBorders>
              <w:top w:color="D9D9D9" w:space="0" w:sz="2" w:val="single"/>
              <w:left w:color="FF0000" w:space="0" w:sz="18" w:val="single"/>
              <w:bottom w:color="D9D9D9" w:space="0" w:sz="2" w:val="single"/>
              <w:right w:color="FF0000" w:space="0" w:sz="18" w:val="single"/>
            </w:tcBorders>
            <w:shd w:fill="FFFFFF"/>
            <w:tcW w:type="dxa" w:w="83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rFonts w:ascii="Arial" w:cs="Arial" w:eastAsia="Times New Roman" w:hAnsi="Arial"/>
                <w:lang w:val="es-PA"/>
              </w:rPr>
              <w:t>x</w:t>
            </w:r>
          </w:p>
        </w:tc>
      </w:tr>
      <w:tr>
        <w:trPr>
          <w:trHeight w:hRule="atLeast" w:val="277"/>
          <w:cantSplit w:val="off"/>
        </w:trPr>
        <w:tc>
          <w:tcPr>
            <w:tcBorders>
              <w:top w:color="D9D9D9" w:space="0" w:sz="2" w:val="single"/>
              <w:bottom w:color="D9D9D9" w:space="0" w:sz="2" w:val="single"/>
              <w:right w:color="FF0000" w:space="0" w:sz="18" w:val="single"/>
            </w:tcBorders>
            <w:shd w:fill="A6A6A6"/>
            <w:tcW w:type="dxa" w:w="16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92" w:lineRule="atLeast"/>
            </w:pPr>
            <w:r>
              <w:rPr>
                <w:color w:val="FFFFFF"/>
                <w:sz w:val="22"/>
                <w:b/>
                <w:szCs w:val="22"/>
                <w:rFonts w:ascii="Calibri" w:cs="Arial" w:eastAsia="Times New Roman" w:hAnsi="Calibri"/>
                <w:lang w:val="es-PA"/>
              </w:rPr>
              <w:t>Manejo de Ecosistemas</w:t>
            </w:r>
          </w:p>
        </w:tc>
        <w:tc>
          <w:tcPr>
            <w:tcBorders>
              <w:top w:color="D9D9D9" w:space="0" w:sz="2" w:val="single"/>
              <w:left w:color="FF0000" w:space="0" w:sz="18" w:val="single"/>
              <w:bottom w:color="D9D9D9" w:space="0" w:sz="2" w:val="single"/>
              <w:right w:color="FF0000" w:space="0" w:sz="18" w:val="single"/>
            </w:tcBorders>
            <w:shd w:fill="FFFFFF"/>
            <w:tcW w:type="dxa" w:w="33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D9D9D9" w:space="0" w:sz="2" w:val="single"/>
              <w:left w:color="FF0000" w:space="0" w:sz="18" w:val="single"/>
              <w:bottom w:color="D9D9D9" w:space="0" w:sz="2" w:val="single"/>
              <w:right w:color="FF0000" w:space="0" w:sz="18" w:val="single"/>
            </w:tcBorders>
            <w:shd w:fill="FFFFFF"/>
            <w:tcW w:type="dxa" w:w="49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rFonts w:ascii="Arial" w:cs="Arial" w:eastAsia="Times New Roman" w:hAnsi="Arial"/>
                <w:lang w:val="es-PA"/>
              </w:rPr>
              <w:t>x</w:t>
            </w:r>
          </w:p>
        </w:tc>
        <w:tc>
          <w:tcPr>
            <w:tcBorders>
              <w:top w:color="D9D9D9" w:space="0" w:sz="2" w:val="single"/>
              <w:left w:color="FF0000" w:space="0" w:sz="18" w:val="single"/>
              <w:bottom w:color="D9D9D9" w:space="0" w:sz="2" w:val="single"/>
              <w:right w:color="FF0000" w:space="0" w:sz="18" w:val="single"/>
            </w:tcBorders>
            <w:shd w:fill="FFFFFF"/>
            <w:tcW w:type="dxa" w:w="66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D9D9D9" w:space="0" w:sz="2" w:val="single"/>
              <w:left w:color="FF0000" w:space="0" w:sz="18" w:val="single"/>
              <w:bottom w:color="D9D9D9" w:space="0" w:sz="2" w:val="single"/>
              <w:right w:color="FF0000" w:space="0" w:sz="18" w:val="single"/>
            </w:tcBorders>
            <w:shd w:fill="FFFFFF"/>
            <w:tcW w:type="dxa" w:w="83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77"/>
          <w:cantSplit w:val="off"/>
        </w:trPr>
        <w:tc>
          <w:tcPr>
            <w:tcBorders>
              <w:top w:color="D9D9D9" w:space="0" w:sz="2" w:val="single"/>
              <w:bottom w:color="D9D9D9" w:space="0" w:sz="2" w:val="single"/>
              <w:right w:color="FF0000" w:space="0" w:sz="18" w:val="single"/>
            </w:tcBorders>
            <w:shd w:fill="A6A6A6"/>
            <w:tcW w:type="dxa" w:w="16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68" w:lineRule="atLeast"/>
            </w:pPr>
            <w:r>
              <w:rPr>
                <w:color w:val="FFFFFF"/>
                <w:sz w:val="22"/>
                <w:b/>
                <w:szCs w:val="22"/>
                <w:rFonts w:ascii="Calibri" w:cs="Arial" w:eastAsia="Times New Roman" w:hAnsi="Calibri"/>
                <w:lang w:val="es-PA"/>
              </w:rPr>
              <w:t>Cambio climático</w:t>
            </w:r>
          </w:p>
        </w:tc>
        <w:tc>
          <w:tcPr>
            <w:tcBorders>
              <w:top w:color="D9D9D9" w:space="0" w:sz="2" w:val="single"/>
              <w:left w:color="FF0000" w:space="0" w:sz="18" w:val="single"/>
              <w:bottom w:color="D9D9D9" w:space="0" w:sz="2" w:val="single"/>
              <w:right w:color="FF0000" w:space="0" w:sz="18" w:val="single"/>
            </w:tcBorders>
            <w:shd w:fill="FFFFFF"/>
            <w:tcW w:type="dxa" w:w="33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rFonts w:ascii="Arial" w:cs="Arial" w:eastAsia="Times New Roman" w:hAnsi="Arial"/>
                <w:lang w:val="es-PA"/>
              </w:rPr>
              <w:t>x</w:t>
            </w:r>
          </w:p>
        </w:tc>
        <w:tc>
          <w:tcPr>
            <w:tcBorders>
              <w:top w:color="D9D9D9" w:space="0" w:sz="2" w:val="single"/>
              <w:left w:color="FF0000" w:space="0" w:sz="18" w:val="single"/>
              <w:bottom w:color="D9D9D9" w:space="0" w:sz="2" w:val="single"/>
              <w:right w:color="FF0000" w:space="0" w:sz="18" w:val="single"/>
            </w:tcBorders>
            <w:shd w:fill="FFFFFF"/>
            <w:tcW w:type="dxa" w:w="49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D9D9D9" w:space="0" w:sz="2" w:val="single"/>
              <w:left w:color="FF0000" w:space="0" w:sz="18" w:val="single"/>
              <w:bottom w:color="D9D9D9" w:space="0" w:sz="2" w:val="single"/>
              <w:right w:color="FF0000" w:space="0" w:sz="18" w:val="single"/>
            </w:tcBorders>
            <w:shd w:fill="FFFFFF"/>
            <w:tcW w:type="dxa" w:w="66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D9D9D9" w:space="0" w:sz="2" w:val="single"/>
              <w:left w:color="FF0000" w:space="0" w:sz="18" w:val="single"/>
              <w:bottom w:color="D9D9D9" w:space="0" w:sz="2" w:val="single"/>
              <w:right w:color="FF0000" w:space="0" w:sz="18" w:val="single"/>
            </w:tcBorders>
            <w:shd w:fill="FFFFFF"/>
            <w:tcW w:type="dxa" w:w="83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rFonts w:ascii="Arial" w:cs="Arial" w:eastAsia="Times New Roman" w:hAnsi="Arial"/>
                <w:lang w:val="es-PA"/>
              </w:rPr>
              <w:t>x</w:t>
            </w:r>
          </w:p>
        </w:tc>
      </w:tr>
      <w:tr>
        <w:trPr>
          <w:trHeight w:hRule="atLeast" w:val="277"/>
          <w:cantSplit w:val="off"/>
        </w:trPr>
        <w:tc>
          <w:tcPr>
            <w:tcBorders>
              <w:top w:color="D9D9D9" w:space="0" w:sz="2" w:val="single"/>
              <w:bottom w:color="D9D9D9" w:space="0" w:sz="2" w:val="single"/>
              <w:right w:color="FF0000" w:space="0" w:sz="18" w:val="single"/>
            </w:tcBorders>
            <w:shd w:fill="A6A6A6"/>
            <w:tcW w:type="dxa" w:w="16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64" w:lineRule="atLeast"/>
            </w:pPr>
            <w:r>
              <w:rPr>
                <w:color w:val="FFFFFF"/>
                <w:sz w:val="22"/>
                <w:b/>
                <w:szCs w:val="22"/>
                <w:rFonts w:ascii="Calibri" w:cs="Arial" w:eastAsia="Times New Roman" w:hAnsi="Calibri"/>
                <w:lang w:val="es-PA"/>
              </w:rPr>
              <w:t>Desastres y conflictos</w:t>
            </w:r>
          </w:p>
        </w:tc>
        <w:tc>
          <w:tcPr>
            <w:tcBorders>
              <w:top w:color="D9D9D9" w:space="0" w:sz="2" w:val="single"/>
              <w:left w:color="FF0000" w:space="0" w:sz="18" w:val="single"/>
              <w:bottom w:color="D9D9D9" w:space="0" w:sz="2" w:val="single"/>
              <w:right w:color="FF0000" w:space="0" w:sz="18" w:val="single"/>
            </w:tcBorders>
            <w:shd w:fill="FFFFFF"/>
            <w:tcW w:type="dxa" w:w="33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rFonts w:ascii="Arial" w:cs="Arial" w:eastAsia="Times New Roman" w:hAnsi="Arial"/>
                <w:lang w:val="es-PA"/>
              </w:rPr>
              <w:t>x</w:t>
            </w:r>
          </w:p>
        </w:tc>
        <w:tc>
          <w:tcPr>
            <w:tcBorders>
              <w:top w:color="D9D9D9" w:space="0" w:sz="2" w:val="single"/>
              <w:left w:color="FF0000" w:space="0" w:sz="18" w:val="single"/>
              <w:bottom w:color="D9D9D9" w:space="0" w:sz="2" w:val="single"/>
              <w:right w:color="FF0000" w:space="0" w:sz="18" w:val="single"/>
            </w:tcBorders>
            <w:shd w:fill="FFFFFF"/>
            <w:tcW w:type="dxa" w:w="49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bookmarkStart w:id="1" w:name="_GoBack"/>
            <w:bookmarkEnd w:id="1"/>
            <w:r>
              <w:rPr>
                <w:sz w:val="22"/>
                <w:szCs w:val="22"/>
                <w:rFonts w:ascii="Arial" w:cs="Arial" w:eastAsia="Times New Roman" w:hAnsi="Arial"/>
                <w:lang w:val="es-PA"/>
              </w:rPr>
              <w:t>x</w:t>
            </w:r>
          </w:p>
        </w:tc>
        <w:tc>
          <w:tcPr>
            <w:tcBorders>
              <w:top w:color="D9D9D9" w:space="0" w:sz="2" w:val="single"/>
              <w:left w:color="FF0000" w:space="0" w:sz="18" w:val="single"/>
              <w:bottom w:color="D9D9D9" w:space="0" w:sz="2" w:val="single"/>
              <w:right w:color="FF0000" w:space="0" w:sz="18" w:val="single"/>
            </w:tcBorders>
            <w:shd w:fill="FFFFFF"/>
            <w:tcW w:type="dxa" w:w="66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D9D9D9" w:space="0" w:sz="2" w:val="single"/>
              <w:left w:color="FF0000" w:space="0" w:sz="18" w:val="single"/>
              <w:bottom w:color="D9D9D9" w:space="0" w:sz="2" w:val="single"/>
              <w:right w:color="FF0000" w:space="0" w:sz="18" w:val="single"/>
            </w:tcBorders>
            <w:shd w:fill="FFFFFF"/>
            <w:tcW w:type="dxa" w:w="83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rFonts w:ascii="Arial" w:cs="Arial" w:eastAsia="Times New Roman" w:hAnsi="Arial"/>
                <w:lang w:val="es-PA"/>
              </w:rPr>
              <w:t>x</w:t>
            </w:r>
          </w:p>
        </w:tc>
      </w:tr>
      <w:tr>
        <w:trPr>
          <w:trHeight w:hRule="atLeast" w:val="277"/>
          <w:cantSplit w:val="off"/>
        </w:trPr>
        <w:tc>
          <w:tcPr>
            <w:tcBorders>
              <w:top w:color="D9D9D9" w:space="0" w:sz="2" w:val="single"/>
              <w:bottom w:color="D9D9D9" w:space="0" w:sz="2" w:val="single"/>
              <w:right w:color="FF0000" w:space="0" w:sz="18" w:val="single"/>
            </w:tcBorders>
            <w:shd w:fill="A6A6A6"/>
            <w:tcW w:type="dxa" w:w="16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FFFFFF"/>
                <w:sz w:val="22"/>
                <w:b/>
                <w:szCs w:val="22"/>
                <w:rFonts w:ascii="Calibri" w:cs="Arial" w:eastAsia="Times New Roman" w:hAnsi="Calibri"/>
                <w:lang w:val="es-PA"/>
              </w:rPr>
              <w:t>Sustancias dañinas</w:t>
            </w:r>
          </w:p>
        </w:tc>
        <w:tc>
          <w:tcPr>
            <w:tcBorders>
              <w:top w:color="D9D9D9" w:space="0" w:sz="2" w:val="single"/>
              <w:left w:color="FF0000" w:space="0" w:sz="18" w:val="single"/>
              <w:bottom w:color="D9D9D9" w:space="0" w:sz="2" w:val="single"/>
              <w:right w:color="FF0000" w:space="0" w:sz="18" w:val="single"/>
            </w:tcBorders>
            <w:shd w:fill="FFFFFF"/>
            <w:tcW w:type="dxa" w:w="33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x</w:t>
            </w:r>
          </w:p>
        </w:tc>
        <w:tc>
          <w:tcPr>
            <w:tcBorders>
              <w:top w:color="D9D9D9" w:space="0" w:sz="2" w:val="single"/>
              <w:left w:color="FF0000" w:space="0" w:sz="18" w:val="single"/>
              <w:bottom w:color="D9D9D9" w:space="0" w:sz="2" w:val="single"/>
              <w:right w:color="FF0000" w:space="0" w:sz="18" w:val="single"/>
            </w:tcBorders>
            <w:shd w:fill="FFFFFF"/>
            <w:tcW w:type="dxa" w:w="49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x</w:t>
            </w:r>
          </w:p>
        </w:tc>
        <w:tc>
          <w:tcPr>
            <w:tcBorders>
              <w:top w:color="D9D9D9" w:space="0" w:sz="2" w:val="single"/>
              <w:left w:color="FF0000" w:space="0" w:sz="18" w:val="single"/>
              <w:bottom w:color="D9D9D9" w:space="0" w:sz="2" w:val="single"/>
              <w:right w:color="FF0000" w:space="0" w:sz="18" w:val="single"/>
            </w:tcBorders>
            <w:shd w:fill="FFFFFF"/>
            <w:tcW w:type="dxa" w:w="66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D9D9D9" w:space="0" w:sz="2" w:val="single"/>
              <w:left w:color="FF0000" w:space="0" w:sz="18" w:val="single"/>
              <w:bottom w:color="D9D9D9" w:space="0" w:sz="2" w:val="single"/>
              <w:right w:color="FF0000" w:space="0" w:sz="18" w:val="single"/>
            </w:tcBorders>
            <w:shd w:fill="FFFFFF"/>
            <w:tcW w:type="dxa" w:w="83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  <w:ind w:hanging="0" w:left="360" w:right="0"/>
      </w:pPr>
      <w:r>
        <w:rPr/>
      </w:r>
    </w:p>
    <w:sectPr>
      <w:formProt w:val="off"/>
      <w:pgSz w:h="16838" w:w="11906"/>
      <w:docGrid w:charSpace="0" w:linePitch="360" w:type="default"/>
      <w:textDirection w:val="lrTb"/>
      <w:pgNumType w:fmt="decimal"/>
      <w:type w:val="nextPage"/>
      <w:headerReference r:id="rId5" w:type="default"/>
      <w:footerReference r:id="rId6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  <w:jc w:val="center"/>
      <w:ind w:hanging="0" w:left="0" w:right="360"/>
    </w:pPr>
    <w:r>
      <w:rPr>
        <w:sz w:val="18"/>
        <w:szCs w:val="18"/>
        <w:rFonts w:ascii="Arial" w:hAnsi="Arial"/>
        <w:lang w:val="es-PA"/>
      </w:rPr>
      <w:br/>
      <w:t>OFICINA REGIONAL PARA AMÉRICA LATINA Y EL CARIBE (ORPALC)</w:t>
    </w:r>
  </w:p>
  <w:p>
    <w:pPr>
      <w:pStyle w:val="style28"/>
      <w:jc w:val="center"/>
      <w:ind w:hanging="0" w:left="0" w:right="360"/>
    </w:pPr>
    <w:r>
      <w:rPr>
        <w:sz w:val="18"/>
        <w:szCs w:val="18"/>
        <w:rFonts w:ascii="Arial" w:hAnsi="Arial"/>
      </w:rPr>
      <w:t>REGIONAL OFFICE FOR LATIN AMERICA AND THE CARIBBEAN (ROLAC)</w:t>
    </w:r>
  </w:p>
  <w:p>
    <w:pPr>
      <w:pStyle w:val="style28"/>
      <w:jc w:val="center"/>
      <w:tabs>
        <w:tab w:leader="none" w:pos="4320" w:val="center"/>
        <w:tab w:leader="none" w:pos="8280" w:val="left"/>
        <w:tab w:leader="none" w:pos="8640" w:val="right"/>
      </w:tabs>
      <w:ind w:hanging="0" w:left="0" w:right="360"/>
    </w:pPr>
    <w:r>
      <w:rPr>
        <w:sz w:val="16"/>
        <w:rFonts w:ascii="Arial" w:hAnsi="Arial"/>
        <w:lang w:val="es-PA"/>
      </w:rPr>
      <w:t xml:space="preserve">P.O. Box 0843-,03590 Ancón, Panamá </w:t>
    </w:r>
    <w:r>
      <w:rPr>
        <w:sz w:val="16"/>
        <w:rFonts w:ascii="Arial" w:hAnsi="Arial"/>
      </w:rPr>
      <w:t></w:t>
    </w:r>
    <w:r>
      <w:rPr>
        <w:sz w:val="16"/>
        <w:rFonts w:ascii="Arial" w:hAnsi="Arial"/>
        <w:lang w:val="es-PA"/>
      </w:rPr>
      <w:t xml:space="preserve"> Edificio 103, Ave. Morse, Ciudad del Saber, Clayton, Rep. de Panamá</w:t>
    </w:r>
  </w:p>
  <w:p>
    <w:pPr>
      <w:pStyle w:val="style28"/>
      <w:jc w:val="center"/>
      <w:tabs>
        <w:tab w:leader="none" w:pos="4320" w:val="center"/>
        <w:tab w:leader="none" w:pos="8280" w:val="left"/>
        <w:tab w:leader="none" w:pos="8640" w:val="right"/>
      </w:tabs>
      <w:ind w:hanging="0" w:left="0" w:right="360"/>
    </w:pPr>
    <w:r>
      <w:rPr>
        <w:sz w:val="16"/>
        <w:rFonts w:ascii="Arial" w:hAnsi="Arial"/>
      </w:rPr>
      <w:t>Tel: [507] 305-3100  Fax: [507] 305-3105 </w:t>
    </w:r>
    <w:r>
      <w:rPr>
        <w:sz w:val="16"/>
        <w:rFonts w:ascii="Arial" w:hAnsi="Arial"/>
        <w:lang w:val="es-PA"/>
      </w:rPr>
      <w:t xml:space="preserve"> </w:t>
    </w:r>
    <w:r>
      <w:rPr>
        <w:sz w:val="16"/>
        <w:rFonts w:ascii="Arial" w:hAnsi="Arial"/>
      </w:rPr>
      <w:t>Email:enlace@pnuma.org</w:t>
    </w:r>
  </w:p>
  <w:p>
    <w:pPr>
      <w:pStyle w:val="style28"/>
      <w:jc w:val="center"/>
      <w:ind w:hanging="0" w:left="0" w:right="360"/>
    </w:pPr>
    <w:r>
      <w:rPr/>
    </w:r>
  </w:p>
  <w:p>
    <w:pPr>
      <w:pStyle w:val="style28"/>
      <w:jc w:val="center"/>
      <w:ind w:hanging="0" w:left="0" w:right="360"/>
    </w:pPr>
    <w:r>
      <w:rPr>
        <w:sz w:val="18"/>
        <w:szCs w:val="18"/>
        <w:rFonts w:ascii="Arial" w:hAnsi="Arial"/>
        <w:lang w:val="es-PA"/>
      </w:rPr>
      <w:br/>
    </w:r>
  </w:p>
  <w:p>
    <w:pPr>
      <w:pStyle w:val="style28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20" w:val="left"/>
      </w:tabs>
      <w:suppressAutoHyphens w:val="true"/>
    </w:pPr>
    <w:rPr>
      <w:color w:val="00000A"/>
      <w:sz w:val="24"/>
      <w:szCs w:val="24"/>
      <w:rFonts w:ascii="Times New Roman" w:cs="Mangal" w:eastAsia="Lucida Sans Unicode" w:hAnsi="Times New Roman"/>
      <w:lang w:bidi="hi-IN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Link da Internet"/>
    <w:basedOn w:val="style15"/>
    <w:next w:val="style16"/>
    <w:rPr>
      <w:color w:val="0000FF"/>
      <w:u w:val="single"/>
      <w:lang w:bidi="pt-BR" w:eastAsia="pt-BR" w:val="pt-BR"/>
    </w:rPr>
  </w:style>
  <w:style w:styleId="style17" w:type="character">
    <w:name w:val="Texto de balão Char"/>
    <w:basedOn w:val="style15"/>
    <w:next w:val="style17"/>
    <w:rPr>
      <w:sz w:val="16"/>
      <w:szCs w:val="16"/>
      <w:rFonts w:ascii="Tahoma" w:cs="Tahoma" w:hAnsi="Tahoma"/>
    </w:rPr>
  </w:style>
  <w:style w:styleId="style18" w:type="character">
    <w:name w:val="annotation reference"/>
    <w:basedOn w:val="style15"/>
    <w:next w:val="style18"/>
    <w:rPr>
      <w:sz w:val="16"/>
      <w:szCs w:val="16"/>
    </w:rPr>
  </w:style>
  <w:style w:styleId="style19" w:type="character">
    <w:name w:val="Texto de comentário Char"/>
    <w:basedOn w:val="style15"/>
    <w:next w:val="style19"/>
    <w:rPr/>
  </w:style>
  <w:style w:styleId="style20" w:type="character">
    <w:name w:val="Assunto do comentário Char"/>
    <w:basedOn w:val="style19"/>
    <w:next w:val="style20"/>
    <w:rPr>
      <w:b/>
      <w:bCs/>
    </w:rPr>
  </w:style>
  <w:style w:styleId="style21" w:type="character">
    <w:name w:val="ListLabel 1"/>
    <w:next w:val="style21"/>
    <w:rPr>
      <w:rFonts w:cs="Courier New"/>
    </w:rPr>
  </w:style>
  <w:style w:styleId="style22" w:type="paragraph">
    <w:name w:val="Título"/>
    <w:basedOn w:val="style0"/>
    <w:next w:val="style23"/>
    <w:pPr>
      <w:keepNext/>
      <w:spacing w:after="120" w:before="240"/>
    </w:pPr>
    <w:rPr>
      <w:sz w:val="28"/>
      <w:szCs w:val="28"/>
      <w:rFonts w:ascii="Arial" w:cs="Mangal" w:eastAsia="Lucida Sans Unicode" w:hAnsi="Arial"/>
    </w:rPr>
  </w:style>
  <w:style w:styleId="style23" w:type="paragraph">
    <w:name w:val="Corpo de texto"/>
    <w:basedOn w:val="style0"/>
    <w:next w:val="style23"/>
    <w:pPr>
      <w:spacing w:after="120" w:before="0"/>
    </w:pPr>
    <w:rPr/>
  </w:style>
  <w:style w:styleId="style24" w:type="paragraph">
    <w:name w:val="Lista"/>
    <w:basedOn w:val="style23"/>
    <w:next w:val="style24"/>
    <w:pPr/>
    <w:rPr>
      <w:rFonts w:cs="Mangal"/>
    </w:rPr>
  </w:style>
  <w:style w:styleId="style25" w:type="paragraph">
    <w:name w:val="Legenda"/>
    <w:basedOn w:val="style0"/>
    <w:next w:val="style25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6" w:type="paragraph">
    <w:name w:val="Índice"/>
    <w:basedOn w:val="style0"/>
    <w:next w:val="style26"/>
    <w:pPr>
      <w:suppressLineNumbers/>
    </w:pPr>
    <w:rPr>
      <w:rFonts w:cs="Mangal"/>
    </w:rPr>
  </w:style>
  <w:style w:styleId="style27" w:type="paragraph">
    <w:name w:val="Cabeçalho"/>
    <w:basedOn w:val="style0"/>
    <w:next w:val="style27"/>
    <w:pPr>
      <w:tabs>
        <w:tab w:leader="none" w:pos="4320" w:val="center"/>
        <w:tab w:leader="none" w:pos="8640" w:val="right"/>
      </w:tabs>
      <w:suppressLineNumbers/>
    </w:pPr>
    <w:rPr/>
  </w:style>
  <w:style w:styleId="style28" w:type="paragraph">
    <w:name w:val="Rodapé"/>
    <w:basedOn w:val="style0"/>
    <w:next w:val="style28"/>
    <w:pPr>
      <w:tabs>
        <w:tab w:leader="none" w:pos="4320" w:val="center"/>
        <w:tab w:leader="none" w:pos="8640" w:val="right"/>
      </w:tabs>
      <w:suppressLineNumbers/>
    </w:pPr>
    <w:rPr/>
  </w:style>
  <w:style w:styleId="style29" w:type="paragraph">
    <w:name w:val="Document Map"/>
    <w:basedOn w:val="style0"/>
    <w:next w:val="style29"/>
    <w:pPr>
      <w:shd w:fill="000080"/>
    </w:pPr>
    <w:rPr>
      <w:sz w:val="20"/>
      <w:szCs w:val="20"/>
      <w:rFonts w:ascii="Tahoma" w:cs="Tahoma" w:hAnsi="Tahoma"/>
    </w:rPr>
  </w:style>
  <w:style w:styleId="style30" w:type="paragraph">
    <w:name w:val="Balloon Text"/>
    <w:basedOn w:val="style0"/>
    <w:next w:val="style30"/>
    <w:pPr/>
    <w:rPr>
      <w:sz w:val="16"/>
      <w:szCs w:val="16"/>
      <w:rFonts w:ascii="Tahoma" w:cs="Tahoma" w:hAnsi="Tahoma"/>
    </w:rPr>
  </w:style>
  <w:style w:styleId="style31" w:type="paragraph">
    <w:name w:val="annotation text"/>
    <w:basedOn w:val="style0"/>
    <w:next w:val="style31"/>
    <w:pPr/>
    <w:rPr>
      <w:sz w:val="20"/>
      <w:szCs w:val="20"/>
    </w:rPr>
  </w:style>
  <w:style w:styleId="style32" w:type="paragraph">
    <w:name w:val="annotation subject"/>
    <w:basedOn w:val="style31"/>
    <w:next w:val="style32"/>
    <w:pPr/>
    <w:rPr>
      <w:b/>
      <w:bCs/>
    </w:rPr>
  </w:style>
  <w:style w:styleId="style33" w:type="paragraph">
    <w:name w:val="Normal (Web)"/>
    <w:basedOn w:val="style0"/>
    <w:next w:val="style33"/>
    <w:pPr>
      <w:spacing w:after="28" w:before="28"/>
    </w:pPr>
    <w:rPr>
      <w:rFonts w:eastAsia="Times New Roman"/>
      <w:lang w:eastAsia="es-ES" w:val="es-ES"/>
    </w:rPr>
  </w:style>
  <w:style w:styleId="style34" w:type="paragraph">
    <w:name w:val="Marge"/>
    <w:basedOn w:val="style0"/>
    <w:next w:val="style34"/>
    <w:pPr>
      <w:jc w:val="both"/>
      <w:tabs>
        <w:tab w:leader="none" w:pos="567" w:val="left"/>
      </w:tabs>
      <w:spacing w:after="240" w:before="0"/>
    </w:pPr>
    <w:rPr>
      <w:sz w:val="22"/>
      <w:rFonts w:ascii="Arial" w:eastAsia="Times New Roman" w:hAnsi="Arial"/>
      <w:lang w:val="fr-FR"/>
    </w:rPr>
  </w:style>
  <w:style w:styleId="style35" w:type="paragraph">
    <w:name w:val="List Paragraph"/>
    <w:basedOn w:val="style0"/>
    <w:next w:val="style35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ma.gov.br/estruturas/educamb/_arquivos/pronea3.pdf" TargetMode="External"/><Relationship Id="rId3" Type="http://schemas.openxmlformats.org/officeDocument/2006/relationships/hyperlink" Target="http://www.mma.gov.br/educacao-ambiental/formacao-de-educadores/item/8267" TargetMode="External"/><Relationship Id="rId4" Type="http://schemas.openxmlformats.org/officeDocument/2006/relationships/hyperlink" Target="http://www.mma.gov.br/educacao-ambiental/formacao-de-educadores/saneamento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Application>BrOffice/3.3$Win32 LibreOffice_project/330m19$Build-8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2013-03-28T23:24:00.00Z</dcterms:created>
  <dc:creator>PNUMA</dc:creator>
  <cp:lastModifiedBy>mma</cp:lastModifiedBy>
  <cp:lastPrinted>2010-01-27T13:58:00.00Z</cp:lastPrinted>
  <dcterms:modified xsi:type="dcterms:W3CDTF">2013-03-29T04:59:00.00Z</dcterms:modified>
  <cp:revision>6</cp:revision>
  <dc:title>Reference</dc:title>
</cp:coreProperties>
</file>