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B8" w:rsidRPr="00673D78" w:rsidRDefault="00E200B8" w:rsidP="00B45B3E">
      <w:pPr>
        <w:spacing w:after="120" w:line="240" w:lineRule="auto"/>
        <w:ind w:left="57"/>
        <w:rPr>
          <w:rFonts w:ascii="Verdana" w:hAnsi="Verdana" w:cs="Times New Roman"/>
          <w:sz w:val="24"/>
          <w:lang w:val="en-US"/>
        </w:rPr>
      </w:pPr>
    </w:p>
    <w:p w:rsidR="00673D78" w:rsidRPr="00673D78" w:rsidRDefault="00673D78" w:rsidP="00B45B3E">
      <w:pPr>
        <w:spacing w:after="120" w:line="240" w:lineRule="auto"/>
        <w:ind w:left="57"/>
        <w:rPr>
          <w:rFonts w:ascii="Verdana" w:hAnsi="Verdana" w:cs="Times New Roman"/>
          <w:sz w:val="24"/>
          <w:lang w:val="en-US"/>
        </w:rPr>
      </w:pPr>
    </w:p>
    <w:p w:rsidR="00673D78" w:rsidRPr="00673D78" w:rsidRDefault="00673D78" w:rsidP="00B45B3E">
      <w:pPr>
        <w:spacing w:after="120" w:line="240" w:lineRule="auto"/>
        <w:ind w:left="57"/>
        <w:rPr>
          <w:rFonts w:ascii="Verdana" w:hAnsi="Verdana" w:cs="Times New Roman"/>
          <w:sz w:val="24"/>
          <w:lang w:val="en-US"/>
        </w:rPr>
      </w:pPr>
    </w:p>
    <w:p w:rsidR="00673D78" w:rsidRPr="00673D78" w:rsidRDefault="00673D78" w:rsidP="00B45B3E">
      <w:pPr>
        <w:spacing w:after="120" w:line="240" w:lineRule="auto"/>
        <w:ind w:left="57"/>
        <w:rPr>
          <w:rFonts w:ascii="Verdana" w:hAnsi="Verdana" w:cs="Times New Roman"/>
          <w:sz w:val="24"/>
          <w:lang w:val="en-US"/>
        </w:rPr>
      </w:pPr>
    </w:p>
    <w:p w:rsidR="00673D78" w:rsidRPr="00673D78" w:rsidRDefault="00673D78" w:rsidP="00B45B3E">
      <w:pPr>
        <w:spacing w:after="120" w:line="240" w:lineRule="auto"/>
        <w:ind w:left="57"/>
        <w:jc w:val="center"/>
        <w:rPr>
          <w:rFonts w:ascii="Verdana" w:hAnsi="Verdana" w:cs="Times New Roman"/>
          <w:sz w:val="24"/>
          <w:lang w:val="en-US"/>
        </w:rPr>
      </w:pPr>
    </w:p>
    <w:p w:rsidR="00673D78" w:rsidRPr="00673D78" w:rsidRDefault="00673D78" w:rsidP="00B45B3E">
      <w:pPr>
        <w:spacing w:after="120" w:line="240" w:lineRule="auto"/>
        <w:ind w:left="57"/>
        <w:jc w:val="center"/>
        <w:rPr>
          <w:rFonts w:ascii="Verdana" w:hAnsi="Verdana" w:cs="Times New Roman"/>
          <w:b/>
          <w:sz w:val="32"/>
          <w:szCs w:val="32"/>
          <w:lang w:val="en-US"/>
        </w:rPr>
      </w:pPr>
      <w:r w:rsidRPr="00673D78">
        <w:rPr>
          <w:rFonts w:ascii="Verdana" w:hAnsi="Verdana" w:cs="Times New Roman"/>
          <w:b/>
          <w:sz w:val="32"/>
          <w:szCs w:val="32"/>
          <w:lang w:val="en-US"/>
        </w:rPr>
        <w:t xml:space="preserve">Implementation of the </w:t>
      </w:r>
    </w:p>
    <w:p w:rsidR="00673D78" w:rsidRPr="00673D78" w:rsidRDefault="00673D78" w:rsidP="00B45B3E">
      <w:pPr>
        <w:spacing w:after="120" w:line="240" w:lineRule="auto"/>
        <w:ind w:left="57"/>
        <w:jc w:val="center"/>
        <w:rPr>
          <w:rFonts w:ascii="Verdana" w:hAnsi="Verdana" w:cs="Times New Roman"/>
          <w:b/>
          <w:sz w:val="32"/>
          <w:szCs w:val="32"/>
          <w:lang w:val="en-US"/>
        </w:rPr>
      </w:pPr>
      <w:r w:rsidRPr="00673D78">
        <w:rPr>
          <w:rFonts w:ascii="Verdana" w:hAnsi="Verdana" w:cs="Times New Roman"/>
          <w:b/>
          <w:sz w:val="32"/>
          <w:szCs w:val="32"/>
          <w:lang w:val="en-US"/>
        </w:rPr>
        <w:t xml:space="preserve">Minamata Convention on Mercury </w:t>
      </w:r>
    </w:p>
    <w:p w:rsidR="00673D78" w:rsidRPr="00673D78" w:rsidRDefault="00673D78" w:rsidP="00B45B3E">
      <w:pPr>
        <w:spacing w:after="120" w:line="240" w:lineRule="auto"/>
        <w:ind w:left="57"/>
        <w:jc w:val="center"/>
        <w:rPr>
          <w:rFonts w:ascii="Verdana" w:hAnsi="Verdana" w:cs="Times New Roman"/>
          <w:b/>
          <w:sz w:val="32"/>
          <w:szCs w:val="32"/>
          <w:lang w:val="en-US"/>
        </w:rPr>
      </w:pPr>
      <w:r w:rsidRPr="00673D78">
        <w:rPr>
          <w:rFonts w:ascii="Verdana" w:hAnsi="Verdana" w:cs="Times New Roman"/>
          <w:b/>
          <w:sz w:val="32"/>
          <w:szCs w:val="32"/>
          <w:lang w:val="en-US"/>
        </w:rPr>
        <w:t>in the Interim Period until Entry into Force</w:t>
      </w:r>
    </w:p>
    <w:p w:rsidR="00E200B8" w:rsidRPr="00673D78" w:rsidRDefault="00E200B8" w:rsidP="00B45B3E">
      <w:pPr>
        <w:spacing w:after="120" w:line="240" w:lineRule="auto"/>
        <w:ind w:left="57"/>
        <w:rPr>
          <w:rFonts w:ascii="Verdana" w:hAnsi="Verdana" w:cs="Times New Roman"/>
          <w:sz w:val="24"/>
          <w:lang w:val="en-US"/>
        </w:rPr>
      </w:pPr>
    </w:p>
    <w:p w:rsidR="00E200B8" w:rsidRPr="00673D78" w:rsidRDefault="00E200B8" w:rsidP="00B45B3E">
      <w:pPr>
        <w:spacing w:after="120" w:line="240" w:lineRule="auto"/>
        <w:ind w:left="57"/>
        <w:rPr>
          <w:rFonts w:ascii="Verdana" w:hAnsi="Verdana" w:cs="Times New Roman"/>
          <w:sz w:val="24"/>
          <w:lang w:val="en-US"/>
        </w:rPr>
      </w:pPr>
    </w:p>
    <w:p w:rsidR="00E200B8" w:rsidRPr="00673D78" w:rsidRDefault="00E200B8" w:rsidP="00B45B3E">
      <w:pPr>
        <w:spacing w:after="120"/>
        <w:ind w:left="57"/>
        <w:rPr>
          <w:rFonts w:ascii="Verdana" w:hAnsi="Verdana" w:cs="Times New Roman"/>
          <w:sz w:val="24"/>
          <w:lang w:val="en-US"/>
        </w:rPr>
      </w:pPr>
      <w:r w:rsidRPr="00673D78">
        <w:rPr>
          <w:rFonts w:ascii="Verdana" w:hAnsi="Verdana" w:cs="Times New Roman"/>
          <w:sz w:val="24"/>
          <w:lang w:val="en-US"/>
        </w:rPr>
        <w:br w:type="page"/>
      </w:r>
    </w:p>
    <w:p w:rsidR="004347FA" w:rsidRPr="00673D78" w:rsidRDefault="004347FA" w:rsidP="00B45B3E">
      <w:pPr>
        <w:spacing w:after="120" w:line="240" w:lineRule="auto"/>
        <w:ind w:left="57"/>
        <w:rPr>
          <w:rFonts w:ascii="Verdana" w:hAnsi="Verdana" w:cs="Times New Roman"/>
          <w:b/>
          <w:sz w:val="24"/>
          <w:lang w:val="en-US"/>
        </w:rPr>
      </w:pPr>
      <w:r w:rsidRPr="00673D78">
        <w:rPr>
          <w:rFonts w:ascii="Verdana" w:hAnsi="Verdana" w:cs="Times New Roman"/>
          <w:b/>
          <w:sz w:val="24"/>
          <w:lang w:val="en-US"/>
        </w:rPr>
        <w:lastRenderedPageBreak/>
        <w:t>Implementation of the Minamata Convention on Mercury</w:t>
      </w:r>
      <w:r w:rsidR="004F65A0" w:rsidRPr="00673D78">
        <w:rPr>
          <w:rFonts w:ascii="Verdana" w:hAnsi="Verdana" w:cs="Times New Roman"/>
          <w:b/>
          <w:sz w:val="24"/>
          <w:lang w:val="en-US"/>
        </w:rPr>
        <w:t xml:space="preserve"> in the Interim Period</w:t>
      </w:r>
      <w:r w:rsidR="00397DF6" w:rsidRPr="00673D78">
        <w:rPr>
          <w:rFonts w:ascii="Verdana" w:hAnsi="Verdana" w:cs="Times New Roman"/>
          <w:b/>
          <w:sz w:val="24"/>
          <w:lang w:val="en-US"/>
        </w:rPr>
        <w:t xml:space="preserve"> until Entry into Force</w:t>
      </w:r>
    </w:p>
    <w:p w:rsidR="004347FA" w:rsidRPr="00673D78" w:rsidRDefault="004347FA" w:rsidP="00B45B3E">
      <w:pPr>
        <w:spacing w:after="120" w:line="240" w:lineRule="auto"/>
        <w:ind w:left="57"/>
        <w:rPr>
          <w:rFonts w:ascii="Verdana" w:hAnsi="Verdana" w:cs="Times New Roman"/>
          <w:lang w:val="en-US"/>
        </w:rPr>
      </w:pPr>
    </w:p>
    <w:p w:rsidR="004347FA" w:rsidRPr="00673D78" w:rsidRDefault="004347FA" w:rsidP="00B45B3E">
      <w:pPr>
        <w:pStyle w:val="Prrafodelista"/>
        <w:numPr>
          <w:ilvl w:val="0"/>
          <w:numId w:val="3"/>
        </w:numPr>
        <w:spacing w:after="120" w:line="240" w:lineRule="auto"/>
        <w:ind w:left="57" w:firstLine="0"/>
        <w:contextualSpacing w:val="0"/>
        <w:rPr>
          <w:rFonts w:ascii="Verdana" w:hAnsi="Verdana" w:cs="Times New Roman"/>
          <w:b/>
          <w:lang w:val="en-US"/>
        </w:rPr>
      </w:pPr>
      <w:r w:rsidRPr="00673D78">
        <w:rPr>
          <w:rFonts w:ascii="Verdana" w:hAnsi="Verdana" w:cs="Times New Roman"/>
          <w:b/>
          <w:lang w:val="en-US"/>
        </w:rPr>
        <w:t>Background</w:t>
      </w:r>
    </w:p>
    <w:p w:rsidR="004347FA" w:rsidRPr="00673D78" w:rsidRDefault="004347FA" w:rsidP="00B45B3E">
      <w:pPr>
        <w:spacing w:after="120" w:line="240" w:lineRule="auto"/>
        <w:ind w:left="57"/>
        <w:rPr>
          <w:rFonts w:ascii="Verdana" w:hAnsi="Verdana" w:cs="Times New Roman"/>
          <w:lang w:val="en-US"/>
        </w:rPr>
      </w:pPr>
    </w:p>
    <w:p w:rsidR="00DB0226" w:rsidRPr="00673D78" w:rsidRDefault="00DB0226"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Mercury is a naturally occurring element found throughout the environment in inorganic and organic forms. It is toxic, persistent in the environment and biomagnifies through food webs causing severe and permanent health impacts</w:t>
      </w:r>
      <w:r w:rsidR="00532068" w:rsidRPr="00673D78">
        <w:rPr>
          <w:rFonts w:ascii="Verdana" w:hAnsi="Verdana" w:cs="Times New Roman"/>
          <w:lang w:val="en-US"/>
        </w:rPr>
        <w:t>, in particular</w:t>
      </w:r>
      <w:r w:rsidR="00127E1B" w:rsidRPr="00673D78">
        <w:rPr>
          <w:rFonts w:ascii="Verdana" w:hAnsi="Verdana" w:cs="Times New Roman"/>
          <w:lang w:val="en-US"/>
        </w:rPr>
        <w:t xml:space="preserve"> significant neurological and other effects, with concerns expressed particularly about the effects on unborn children and infants.</w:t>
      </w:r>
    </w:p>
    <w:p w:rsidR="001026DB" w:rsidRPr="00673D78" w:rsidRDefault="001026DB"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In 2001, the Governing Council of the United Nations Environment</w:t>
      </w:r>
      <w:r w:rsidR="00C6544A" w:rsidRPr="00673D78">
        <w:rPr>
          <w:rFonts w:ascii="Verdana" w:hAnsi="Verdana" w:cs="Times New Roman"/>
          <w:lang w:val="en-US"/>
        </w:rPr>
        <w:t xml:space="preserve"> </w:t>
      </w:r>
      <w:r w:rsidRPr="00673D78">
        <w:rPr>
          <w:rFonts w:ascii="Verdana" w:hAnsi="Verdana" w:cs="Times New Roman"/>
          <w:lang w:val="en-US"/>
        </w:rPr>
        <w:t>Programme invited the Executive Director of UNEP to undertake a</w:t>
      </w:r>
      <w:r w:rsidR="00C6544A" w:rsidRPr="00673D78">
        <w:rPr>
          <w:rFonts w:ascii="Verdana" w:hAnsi="Verdana" w:cs="Times New Roman"/>
          <w:lang w:val="en-US"/>
        </w:rPr>
        <w:t xml:space="preserve"> </w:t>
      </w:r>
      <w:r w:rsidRPr="00673D78">
        <w:rPr>
          <w:rFonts w:ascii="Verdana" w:hAnsi="Verdana" w:cs="Times New Roman"/>
          <w:lang w:val="en-US"/>
        </w:rPr>
        <w:t>global assessment of mercury and its compounds, including information</w:t>
      </w:r>
      <w:r w:rsidR="00C6544A" w:rsidRPr="00673D78">
        <w:rPr>
          <w:rFonts w:ascii="Verdana" w:hAnsi="Verdana" w:cs="Times New Roman"/>
          <w:lang w:val="en-US"/>
        </w:rPr>
        <w:t xml:space="preserve"> </w:t>
      </w:r>
      <w:r w:rsidRPr="00673D78">
        <w:rPr>
          <w:rFonts w:ascii="Verdana" w:hAnsi="Verdana" w:cs="Times New Roman"/>
          <w:lang w:val="en-US"/>
        </w:rPr>
        <w:t>on the chemistry and health effects, sources, long-range transport and</w:t>
      </w:r>
      <w:r w:rsidR="00C6544A" w:rsidRPr="00673D78">
        <w:rPr>
          <w:rFonts w:ascii="Verdana" w:hAnsi="Verdana" w:cs="Times New Roman"/>
          <w:lang w:val="en-US"/>
        </w:rPr>
        <w:t xml:space="preserve"> </w:t>
      </w:r>
      <w:r w:rsidRPr="00673D78">
        <w:rPr>
          <w:rFonts w:ascii="Verdana" w:hAnsi="Verdana" w:cs="Times New Roman"/>
          <w:lang w:val="en-US"/>
        </w:rPr>
        <w:t>prevention and control technologies relating to mercury. In 2003, the</w:t>
      </w:r>
      <w:r w:rsidR="00C6544A" w:rsidRPr="00673D78">
        <w:rPr>
          <w:rFonts w:ascii="Verdana" w:hAnsi="Verdana" w:cs="Times New Roman"/>
          <w:lang w:val="en-US"/>
        </w:rPr>
        <w:t xml:space="preserve"> </w:t>
      </w:r>
      <w:r w:rsidRPr="00673D78">
        <w:rPr>
          <w:rFonts w:ascii="Verdana" w:hAnsi="Verdana" w:cs="Times New Roman"/>
          <w:lang w:val="en-US"/>
        </w:rPr>
        <w:t>Governing Council considered this assessment and decided there was</w:t>
      </w:r>
      <w:r w:rsidR="00C6544A" w:rsidRPr="00673D78">
        <w:rPr>
          <w:rFonts w:ascii="Verdana" w:hAnsi="Verdana" w:cs="Times New Roman"/>
          <w:lang w:val="en-US"/>
        </w:rPr>
        <w:t xml:space="preserve"> </w:t>
      </w:r>
      <w:r w:rsidRPr="00673D78">
        <w:rPr>
          <w:rFonts w:ascii="Verdana" w:hAnsi="Verdana" w:cs="Times New Roman"/>
          <w:lang w:val="en-US"/>
        </w:rPr>
        <w:t>sufficient evidence of significant global adverse impacts from mercury and</w:t>
      </w:r>
      <w:r w:rsidR="00C6544A" w:rsidRPr="00673D78">
        <w:rPr>
          <w:rFonts w:ascii="Verdana" w:hAnsi="Verdana" w:cs="Times New Roman"/>
          <w:lang w:val="en-US"/>
        </w:rPr>
        <w:t xml:space="preserve"> </w:t>
      </w:r>
      <w:r w:rsidRPr="00673D78">
        <w:rPr>
          <w:rFonts w:ascii="Verdana" w:hAnsi="Verdana" w:cs="Times New Roman"/>
          <w:lang w:val="en-US"/>
        </w:rPr>
        <w:t>its compounds to warrant further international action to reduce the risks</w:t>
      </w:r>
      <w:r w:rsidR="00C6544A" w:rsidRPr="00673D78">
        <w:rPr>
          <w:rFonts w:ascii="Verdana" w:hAnsi="Verdana" w:cs="Times New Roman"/>
          <w:lang w:val="en-US"/>
        </w:rPr>
        <w:t xml:space="preserve"> </w:t>
      </w:r>
      <w:r w:rsidRPr="00673D78">
        <w:rPr>
          <w:rFonts w:ascii="Verdana" w:hAnsi="Verdana" w:cs="Times New Roman"/>
          <w:lang w:val="en-US"/>
        </w:rPr>
        <w:t>to human health and the environment from the release of mercury and its</w:t>
      </w:r>
      <w:r w:rsidR="00C6544A" w:rsidRPr="00673D78">
        <w:rPr>
          <w:rFonts w:ascii="Verdana" w:hAnsi="Verdana" w:cs="Times New Roman"/>
          <w:lang w:val="en-US"/>
        </w:rPr>
        <w:t xml:space="preserve"> </w:t>
      </w:r>
      <w:r w:rsidRPr="00673D78">
        <w:rPr>
          <w:rFonts w:ascii="Verdana" w:hAnsi="Verdana" w:cs="Times New Roman"/>
          <w:lang w:val="en-US"/>
        </w:rPr>
        <w:t>compounds to the environment. Governments were encouraged to adopt</w:t>
      </w:r>
      <w:r w:rsidR="00C6544A" w:rsidRPr="00673D78">
        <w:rPr>
          <w:rFonts w:ascii="Verdana" w:hAnsi="Verdana" w:cs="Times New Roman"/>
          <w:lang w:val="en-US"/>
        </w:rPr>
        <w:t xml:space="preserve"> </w:t>
      </w:r>
      <w:r w:rsidRPr="00673D78">
        <w:rPr>
          <w:rFonts w:ascii="Verdana" w:hAnsi="Verdana" w:cs="Times New Roman"/>
          <w:lang w:val="en-US"/>
        </w:rPr>
        <w:t>goals for reduction of mercury emissions and releases and UNEP initiated</w:t>
      </w:r>
      <w:r w:rsidR="00C6544A" w:rsidRPr="00673D78">
        <w:rPr>
          <w:rFonts w:ascii="Verdana" w:hAnsi="Verdana" w:cs="Times New Roman"/>
          <w:lang w:val="en-US"/>
        </w:rPr>
        <w:t xml:space="preserve"> </w:t>
      </w:r>
      <w:r w:rsidRPr="00673D78">
        <w:rPr>
          <w:rFonts w:ascii="Verdana" w:hAnsi="Verdana" w:cs="Times New Roman"/>
          <w:lang w:val="en-US"/>
        </w:rPr>
        <w:t>technical assistance and capacity building activities to meet these goals. A mercury programme to address these concerns was established and was further strengthened by governments in decisions of</w:t>
      </w:r>
      <w:r w:rsidR="00C6544A" w:rsidRPr="00673D78">
        <w:rPr>
          <w:rFonts w:ascii="Verdana" w:hAnsi="Verdana" w:cs="Times New Roman"/>
          <w:lang w:val="en-US"/>
        </w:rPr>
        <w:t xml:space="preserve"> </w:t>
      </w:r>
      <w:r w:rsidRPr="00673D78">
        <w:rPr>
          <w:rFonts w:ascii="Verdana" w:hAnsi="Verdana" w:cs="Times New Roman"/>
          <w:lang w:val="en-US"/>
        </w:rPr>
        <w:t xml:space="preserve">the Governing Council in 2005 and in 2007. </w:t>
      </w:r>
    </w:p>
    <w:p w:rsidR="000A5DAF" w:rsidRPr="00673D78" w:rsidRDefault="00EB3D1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In 2009, following extensive consideration of the issue, the Governing</w:t>
      </w:r>
      <w:r w:rsidR="005B6612" w:rsidRPr="00673D78">
        <w:rPr>
          <w:rFonts w:ascii="Verdana" w:hAnsi="Verdana" w:cs="Times New Roman"/>
          <w:lang w:val="en-US"/>
        </w:rPr>
        <w:t xml:space="preserve"> </w:t>
      </w:r>
      <w:r w:rsidRPr="00673D78">
        <w:rPr>
          <w:rFonts w:ascii="Verdana" w:hAnsi="Verdana" w:cs="Times New Roman"/>
          <w:lang w:val="en-US"/>
        </w:rPr>
        <w:t xml:space="preserve">Council agreed that </w:t>
      </w:r>
      <w:r w:rsidR="005B6612" w:rsidRPr="00673D78">
        <w:rPr>
          <w:rFonts w:ascii="Verdana" w:hAnsi="Verdana" w:cs="Times New Roman"/>
          <w:lang w:val="en-US"/>
        </w:rPr>
        <w:t>v</w:t>
      </w:r>
      <w:r w:rsidRPr="00673D78">
        <w:rPr>
          <w:rFonts w:ascii="Verdana" w:hAnsi="Verdana" w:cs="Times New Roman"/>
          <w:lang w:val="en-US"/>
        </w:rPr>
        <w:t>oluntary actions to date had not been sufficient to</w:t>
      </w:r>
      <w:r w:rsidR="005B6612" w:rsidRPr="00673D78">
        <w:rPr>
          <w:rFonts w:ascii="Verdana" w:hAnsi="Verdana" w:cs="Times New Roman"/>
          <w:lang w:val="en-US"/>
        </w:rPr>
        <w:t xml:space="preserve"> </w:t>
      </w:r>
      <w:r w:rsidRPr="00673D78">
        <w:rPr>
          <w:rFonts w:ascii="Verdana" w:hAnsi="Verdana" w:cs="Times New Roman"/>
          <w:lang w:val="en-US"/>
        </w:rPr>
        <w:t>address the concerns on mercury, and decided on the need for further</w:t>
      </w:r>
      <w:r w:rsidR="005B6612" w:rsidRPr="00673D78">
        <w:rPr>
          <w:rFonts w:ascii="Verdana" w:hAnsi="Verdana" w:cs="Times New Roman"/>
          <w:lang w:val="en-US"/>
        </w:rPr>
        <w:t xml:space="preserve"> </w:t>
      </w:r>
      <w:r w:rsidRPr="00673D78">
        <w:rPr>
          <w:rFonts w:ascii="Verdana" w:hAnsi="Verdana" w:cs="Times New Roman"/>
          <w:lang w:val="en-US"/>
        </w:rPr>
        <w:t>action on mercury, including the preparation of a global legally binding</w:t>
      </w:r>
      <w:r w:rsidR="005B6612" w:rsidRPr="00673D78">
        <w:rPr>
          <w:rFonts w:ascii="Verdana" w:hAnsi="Verdana" w:cs="Times New Roman"/>
          <w:lang w:val="en-US"/>
        </w:rPr>
        <w:t xml:space="preserve"> </w:t>
      </w:r>
      <w:r w:rsidRPr="00673D78">
        <w:rPr>
          <w:rFonts w:ascii="Verdana" w:hAnsi="Verdana" w:cs="Times New Roman"/>
          <w:lang w:val="en-US"/>
        </w:rPr>
        <w:t xml:space="preserve">instrument. </w:t>
      </w:r>
      <w:r w:rsidR="000A5DAF" w:rsidRPr="00673D78">
        <w:rPr>
          <w:rFonts w:ascii="Verdana" w:hAnsi="Verdana" w:cs="Times New Roman"/>
          <w:lang w:val="en-US"/>
        </w:rPr>
        <w:t>To this end, a</w:t>
      </w:r>
      <w:r w:rsidRPr="00673D78">
        <w:rPr>
          <w:rFonts w:ascii="Verdana" w:hAnsi="Verdana" w:cs="Times New Roman"/>
          <w:lang w:val="en-US"/>
        </w:rPr>
        <w:t xml:space="preserve">n intergovernmental negotiating committee </w:t>
      </w:r>
      <w:r w:rsidR="005B6612" w:rsidRPr="00673D78">
        <w:rPr>
          <w:rFonts w:ascii="Verdana" w:hAnsi="Verdana" w:cs="Times New Roman"/>
          <w:lang w:val="en-US"/>
        </w:rPr>
        <w:t xml:space="preserve">(INC) </w:t>
      </w:r>
      <w:r w:rsidRPr="00673D78">
        <w:rPr>
          <w:rFonts w:ascii="Verdana" w:hAnsi="Verdana" w:cs="Times New Roman"/>
          <w:lang w:val="en-US"/>
        </w:rPr>
        <w:t>was thus established, to</w:t>
      </w:r>
      <w:r w:rsidR="005B6612" w:rsidRPr="00673D78">
        <w:rPr>
          <w:rFonts w:ascii="Verdana" w:hAnsi="Verdana" w:cs="Times New Roman"/>
          <w:lang w:val="en-US"/>
        </w:rPr>
        <w:t xml:space="preserve"> </w:t>
      </w:r>
      <w:r w:rsidRPr="00673D78">
        <w:rPr>
          <w:rFonts w:ascii="Verdana" w:hAnsi="Verdana" w:cs="Times New Roman"/>
          <w:lang w:val="en-US"/>
        </w:rPr>
        <w:t>commence its work in 2010 and conclude negotiations prior to the 27</w:t>
      </w:r>
      <w:r w:rsidRPr="00673D78">
        <w:rPr>
          <w:rFonts w:ascii="Verdana" w:hAnsi="Verdana" w:cs="Times New Roman"/>
          <w:vertAlign w:val="superscript"/>
          <w:lang w:val="en-US"/>
        </w:rPr>
        <w:t>th</w:t>
      </w:r>
      <w:r w:rsidR="005B6612" w:rsidRPr="00673D78">
        <w:rPr>
          <w:rFonts w:ascii="Verdana" w:hAnsi="Verdana" w:cs="Times New Roman"/>
          <w:lang w:val="en-US"/>
        </w:rPr>
        <w:t xml:space="preserve"> </w:t>
      </w:r>
      <w:r w:rsidRPr="00673D78">
        <w:rPr>
          <w:rFonts w:ascii="Verdana" w:hAnsi="Verdana" w:cs="Times New Roman"/>
          <w:lang w:val="en-US"/>
        </w:rPr>
        <w:t xml:space="preserve">session of the Governing Council in 2013. </w:t>
      </w:r>
      <w:r w:rsidR="000A5DAF" w:rsidRPr="00673D78">
        <w:rPr>
          <w:rFonts w:ascii="Verdana" w:hAnsi="Verdana" w:cs="Times New Roman"/>
          <w:lang w:val="en-US"/>
        </w:rPr>
        <w:t xml:space="preserve">Governments from the Latin America and Caribbean region actively participated during the negotiations and five regional consultations took place over a period of three years in preparation of the INCs sessions. </w:t>
      </w:r>
    </w:p>
    <w:p w:rsidR="00BC7FF1" w:rsidRPr="00673D78" w:rsidRDefault="00EB3D1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In January 2013, the intergovernmental negotiating committee</w:t>
      </w:r>
      <w:r w:rsidR="005B6612" w:rsidRPr="00673D78">
        <w:rPr>
          <w:rFonts w:ascii="Verdana" w:hAnsi="Verdana" w:cs="Times New Roman"/>
          <w:lang w:val="en-US"/>
        </w:rPr>
        <w:t xml:space="preserve"> </w:t>
      </w:r>
      <w:r w:rsidRPr="00673D78">
        <w:rPr>
          <w:rFonts w:ascii="Verdana" w:hAnsi="Verdana" w:cs="Times New Roman"/>
          <w:lang w:val="en-US"/>
        </w:rPr>
        <w:t xml:space="preserve">concluded its fifth session by </w:t>
      </w:r>
      <w:r w:rsidR="005B6612" w:rsidRPr="00673D78">
        <w:rPr>
          <w:rFonts w:ascii="Verdana" w:hAnsi="Verdana" w:cs="Times New Roman"/>
          <w:lang w:val="en-US"/>
        </w:rPr>
        <w:t>a</w:t>
      </w:r>
      <w:r w:rsidRPr="00673D78">
        <w:rPr>
          <w:rFonts w:ascii="Verdana" w:hAnsi="Verdana" w:cs="Times New Roman"/>
          <w:lang w:val="en-US"/>
        </w:rPr>
        <w:t>greeing to the text of the Minamata</w:t>
      </w:r>
      <w:r w:rsidR="005B6612" w:rsidRPr="00673D78">
        <w:rPr>
          <w:rFonts w:ascii="Verdana" w:hAnsi="Verdana" w:cs="Times New Roman"/>
          <w:lang w:val="en-US"/>
        </w:rPr>
        <w:t xml:space="preserve"> </w:t>
      </w:r>
      <w:r w:rsidRPr="00673D78">
        <w:rPr>
          <w:rFonts w:ascii="Verdana" w:hAnsi="Verdana" w:cs="Times New Roman"/>
          <w:lang w:val="en-US"/>
        </w:rPr>
        <w:t>Convention on Mercury.</w:t>
      </w:r>
      <w:r w:rsidR="00ED48F7" w:rsidRPr="00673D78">
        <w:rPr>
          <w:rFonts w:ascii="Verdana" w:hAnsi="Verdana" w:cs="Times New Roman"/>
          <w:lang w:val="en-US"/>
        </w:rPr>
        <w:t xml:space="preserve"> The text was presented for adoption and</w:t>
      </w:r>
      <w:r w:rsidR="004A23E6" w:rsidRPr="00673D78">
        <w:rPr>
          <w:rFonts w:ascii="Verdana" w:hAnsi="Verdana" w:cs="Times New Roman"/>
          <w:lang w:val="en-US"/>
        </w:rPr>
        <w:t xml:space="preserve"> inclusion in the Final Act and</w:t>
      </w:r>
      <w:r w:rsidR="00ED48F7" w:rsidRPr="00673D78">
        <w:rPr>
          <w:rFonts w:ascii="Verdana" w:hAnsi="Verdana" w:cs="Times New Roman"/>
          <w:lang w:val="en-US"/>
        </w:rPr>
        <w:t xml:space="preserve"> opened for signature at the </w:t>
      </w:r>
      <w:r w:rsidR="00A30C87" w:rsidRPr="00673D78">
        <w:rPr>
          <w:rFonts w:ascii="Verdana" w:hAnsi="Verdana" w:cs="Times New Roman"/>
          <w:lang w:val="en-US"/>
        </w:rPr>
        <w:t xml:space="preserve">Conference of Plenipotentiaries, </w:t>
      </w:r>
      <w:r w:rsidR="00ED48F7" w:rsidRPr="00673D78">
        <w:rPr>
          <w:rFonts w:ascii="Verdana" w:hAnsi="Verdana" w:cs="Times New Roman"/>
          <w:lang w:val="en-US"/>
        </w:rPr>
        <w:t xml:space="preserve">that took place in Japan in October 2013. </w:t>
      </w:r>
      <w:r w:rsidR="007A5BBF" w:rsidRPr="00673D78">
        <w:rPr>
          <w:rFonts w:ascii="Verdana" w:hAnsi="Verdana" w:cs="Times New Roman"/>
          <w:lang w:val="en-US"/>
        </w:rPr>
        <w:t xml:space="preserve">The Convention was </w:t>
      </w:r>
      <w:r w:rsidR="00C322D8" w:rsidRPr="00673D78">
        <w:rPr>
          <w:rFonts w:ascii="Verdana" w:hAnsi="Verdana" w:cs="Times New Roman"/>
          <w:lang w:val="en-US"/>
        </w:rPr>
        <w:t xml:space="preserve">at that occasion </w:t>
      </w:r>
      <w:r w:rsidR="007A5BBF" w:rsidRPr="00673D78">
        <w:rPr>
          <w:rFonts w:ascii="Verdana" w:hAnsi="Verdana" w:cs="Times New Roman"/>
          <w:lang w:val="en-US"/>
        </w:rPr>
        <w:t xml:space="preserve">signed by </w:t>
      </w:r>
      <w:r w:rsidR="009B6C6D" w:rsidRPr="00673D78">
        <w:rPr>
          <w:rFonts w:ascii="Verdana" w:hAnsi="Verdana" w:cs="Times New Roman"/>
          <w:lang w:val="en-US"/>
        </w:rPr>
        <w:t>seventeen</w:t>
      </w:r>
      <w:r w:rsidR="007A5BBF" w:rsidRPr="00673D78">
        <w:rPr>
          <w:rFonts w:ascii="Verdana" w:hAnsi="Verdana" w:cs="Times New Roman"/>
          <w:lang w:val="en-US"/>
        </w:rPr>
        <w:t xml:space="preserve"> Latin American and Caribbean governments (Argentina, </w:t>
      </w:r>
      <w:proofErr w:type="spellStart"/>
      <w:r w:rsidR="003155C2">
        <w:rPr>
          <w:rFonts w:ascii="Verdana" w:hAnsi="Verdana" w:cs="Times New Roman"/>
          <w:lang w:val="en-US"/>
        </w:rPr>
        <w:t>Plurinational</w:t>
      </w:r>
      <w:proofErr w:type="spellEnd"/>
      <w:r w:rsidR="003155C2">
        <w:rPr>
          <w:rFonts w:ascii="Verdana" w:hAnsi="Verdana" w:cs="Times New Roman"/>
          <w:lang w:val="en-US"/>
        </w:rPr>
        <w:t xml:space="preserve"> State of </w:t>
      </w:r>
      <w:r w:rsidR="007A5BBF" w:rsidRPr="00673D78">
        <w:rPr>
          <w:rFonts w:ascii="Verdana" w:hAnsi="Verdana" w:cs="Times New Roman"/>
          <w:lang w:val="en-US"/>
        </w:rPr>
        <w:t>Bolivia</w:t>
      </w:r>
      <w:r w:rsidR="003155C2">
        <w:rPr>
          <w:rFonts w:ascii="Verdana" w:hAnsi="Verdana" w:cs="Times New Roman"/>
          <w:lang w:val="en-US"/>
        </w:rPr>
        <w:t>,</w:t>
      </w:r>
      <w:r w:rsidR="007A5BBF" w:rsidRPr="00673D78">
        <w:rPr>
          <w:rFonts w:ascii="Verdana" w:hAnsi="Verdana" w:cs="Times New Roman"/>
          <w:lang w:val="en-US"/>
        </w:rPr>
        <w:t xml:space="preserve"> Brazil, Chile, Colombia, Costa Rica, Dominican Republic, Ecuador, Guatemala, Guyana, Jamaica, Mexico, Nicaragua, Panama, Peru, Uruguay, and </w:t>
      </w:r>
      <w:r w:rsidR="003155C2">
        <w:rPr>
          <w:rFonts w:ascii="Verdana" w:hAnsi="Verdana" w:cs="Times New Roman"/>
          <w:lang w:val="en-US"/>
        </w:rPr>
        <w:t xml:space="preserve">the Bolivarian Republic of </w:t>
      </w:r>
      <w:r w:rsidR="007A5BBF" w:rsidRPr="00673D78">
        <w:rPr>
          <w:rFonts w:ascii="Verdana" w:hAnsi="Verdana" w:cs="Times New Roman"/>
          <w:lang w:val="en-US"/>
        </w:rPr>
        <w:t xml:space="preserve">Venezuela). Three additional governments (Cuba, Paraguay, Suriname) signed the Final Act. </w:t>
      </w:r>
      <w:r w:rsidR="00503553" w:rsidRPr="00503553">
        <w:rPr>
          <w:rFonts w:ascii="Verdana" w:hAnsi="Verdana" w:cs="Times New Roman"/>
          <w:lang w:val="en-US"/>
        </w:rPr>
        <w:t xml:space="preserve">Later, </w:t>
      </w:r>
      <w:r w:rsidR="00503553" w:rsidRPr="00503553">
        <w:rPr>
          <w:rFonts w:ascii="Verdana" w:hAnsi="Verdana" w:cs="Times New Roman"/>
          <w:lang w:val="en-US"/>
        </w:rPr>
        <w:lastRenderedPageBreak/>
        <w:t xml:space="preserve">Paraguay signed the </w:t>
      </w:r>
      <w:r w:rsidR="00503553">
        <w:rPr>
          <w:rFonts w:ascii="Verdana" w:hAnsi="Verdana" w:cs="Times New Roman"/>
          <w:lang w:val="en-US"/>
        </w:rPr>
        <w:t>Convention</w:t>
      </w:r>
      <w:r w:rsidR="00503553" w:rsidRPr="00503553">
        <w:rPr>
          <w:rFonts w:ascii="Verdana" w:hAnsi="Verdana" w:cs="Times New Roman"/>
          <w:lang w:val="en-US"/>
        </w:rPr>
        <w:t xml:space="preserve"> on </w:t>
      </w:r>
      <w:r w:rsidR="003155C2" w:rsidRPr="00503553">
        <w:rPr>
          <w:rFonts w:ascii="Verdana" w:hAnsi="Verdana" w:cs="Times New Roman"/>
          <w:lang w:val="en-US"/>
        </w:rPr>
        <w:t>10</w:t>
      </w:r>
      <w:r w:rsidR="003155C2">
        <w:rPr>
          <w:rFonts w:ascii="Verdana" w:hAnsi="Verdana" w:cs="Times New Roman"/>
          <w:lang w:val="en-US"/>
        </w:rPr>
        <w:t xml:space="preserve"> </w:t>
      </w:r>
      <w:r w:rsidR="00503553" w:rsidRPr="00503553">
        <w:rPr>
          <w:rFonts w:ascii="Verdana" w:hAnsi="Verdana" w:cs="Times New Roman"/>
          <w:lang w:val="en-US"/>
        </w:rPr>
        <w:t>February 2014</w:t>
      </w:r>
      <w:r w:rsidR="00503553">
        <w:rPr>
          <w:rFonts w:ascii="Verdana" w:hAnsi="Verdana" w:cs="Times New Roman"/>
          <w:lang w:val="en-US"/>
        </w:rPr>
        <w:t xml:space="preserve">. </w:t>
      </w:r>
      <w:r w:rsidR="009B6C6D" w:rsidRPr="00673D78">
        <w:rPr>
          <w:rFonts w:ascii="Verdana" w:hAnsi="Verdana" w:cs="Times New Roman"/>
          <w:lang w:val="en-US"/>
        </w:rPr>
        <w:t>Globally,</w:t>
      </w:r>
      <w:r w:rsidR="007A5BBF" w:rsidRPr="00673D78">
        <w:rPr>
          <w:rFonts w:ascii="Verdana" w:hAnsi="Verdana" w:cs="Times New Roman"/>
          <w:lang w:val="en-US"/>
        </w:rPr>
        <w:t xml:space="preserve"> the Convention </w:t>
      </w:r>
      <w:r w:rsidR="009B6C6D" w:rsidRPr="00673D78">
        <w:rPr>
          <w:rFonts w:ascii="Verdana" w:hAnsi="Verdana" w:cs="Times New Roman"/>
          <w:lang w:val="en-US"/>
        </w:rPr>
        <w:t xml:space="preserve">already has </w:t>
      </w:r>
      <w:proofErr w:type="gramStart"/>
      <w:r w:rsidR="00BC7FF1" w:rsidRPr="00673D78">
        <w:rPr>
          <w:rFonts w:ascii="Verdana" w:hAnsi="Verdana" w:cs="Times New Roman"/>
          <w:lang w:val="en-US"/>
        </w:rPr>
        <w:t>one ratification</w:t>
      </w:r>
      <w:proofErr w:type="gramEnd"/>
      <w:r w:rsidR="00BC7FF1" w:rsidRPr="00673D78">
        <w:rPr>
          <w:rFonts w:ascii="Verdana" w:hAnsi="Verdana" w:cs="Times New Roman"/>
          <w:lang w:val="en-US"/>
        </w:rPr>
        <w:t xml:space="preserve"> (USA) and 9</w:t>
      </w:r>
      <w:r w:rsidR="00503553">
        <w:rPr>
          <w:rFonts w:ascii="Verdana" w:hAnsi="Verdana" w:cs="Times New Roman"/>
          <w:lang w:val="en-US"/>
        </w:rPr>
        <w:t>6</w:t>
      </w:r>
      <w:r w:rsidR="00BC7FF1" w:rsidRPr="00673D78">
        <w:rPr>
          <w:rFonts w:ascii="Verdana" w:hAnsi="Verdana" w:cs="Times New Roman"/>
          <w:lang w:val="en-US"/>
        </w:rPr>
        <w:t xml:space="preserve"> signatures</w:t>
      </w:r>
      <w:r w:rsidR="009B6C6D" w:rsidRPr="003155C2">
        <w:rPr>
          <w:rStyle w:val="Refdenotaalpie"/>
          <w:rFonts w:ascii="Verdana" w:hAnsi="Verdana" w:cs="Times New Roman"/>
          <w:lang w:val="en-US"/>
        </w:rPr>
        <w:footnoteReference w:id="1"/>
      </w:r>
      <w:r w:rsidR="003155C2" w:rsidRPr="003155C2">
        <w:rPr>
          <w:rFonts w:ascii="Verdana" w:hAnsi="Verdana" w:cs="Times New Roman"/>
          <w:lang w:val="en-US"/>
        </w:rPr>
        <w:t>.</w:t>
      </w:r>
      <w:r w:rsidR="007A5BBF" w:rsidRPr="003155C2">
        <w:rPr>
          <w:rFonts w:ascii="Verdana" w:hAnsi="Verdana" w:cs="Times New Roman"/>
          <w:lang w:val="en-US"/>
        </w:rPr>
        <w:t xml:space="preserve"> </w:t>
      </w:r>
    </w:p>
    <w:p w:rsidR="006F4932" w:rsidRPr="00673D78" w:rsidRDefault="006F4932"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During the interim period between the date on which the Convention is opened for signature and the date of the opening of the first meeting of the Conference of the Parties to the Convention, the intergovernmental negotiating committee will meet as may be necessary to facilitate the rapid entry into force of the Convention</w:t>
      </w:r>
      <w:r w:rsidR="007C5BF5" w:rsidRPr="00673D78">
        <w:rPr>
          <w:rFonts w:ascii="Verdana" w:hAnsi="Verdana" w:cs="Times New Roman"/>
          <w:lang w:val="en-US"/>
        </w:rPr>
        <w:t xml:space="preserve">, to prepare for the first meeting of the Conference of Parties </w:t>
      </w:r>
      <w:r w:rsidRPr="00673D78">
        <w:rPr>
          <w:rFonts w:ascii="Verdana" w:hAnsi="Verdana" w:cs="Times New Roman"/>
          <w:lang w:val="en-US"/>
        </w:rPr>
        <w:t xml:space="preserve">and </w:t>
      </w:r>
      <w:r w:rsidR="007C5BF5" w:rsidRPr="00673D78">
        <w:rPr>
          <w:rFonts w:ascii="Verdana" w:hAnsi="Verdana" w:cs="Times New Roman"/>
          <w:lang w:val="en-US"/>
        </w:rPr>
        <w:t xml:space="preserve">prepare for the convention’s </w:t>
      </w:r>
      <w:r w:rsidRPr="00673D78">
        <w:rPr>
          <w:rFonts w:ascii="Verdana" w:hAnsi="Verdana" w:cs="Times New Roman"/>
          <w:lang w:val="en-US"/>
        </w:rPr>
        <w:t>effective implementation upon its entry into force. The sixth session of the intergovernmental negotiating committee on mercury (INC6) is scheduled to take place from 3 to 7 November 2014 in Bangkok, Thailand</w:t>
      </w:r>
      <w:r w:rsidR="002F460D" w:rsidRPr="00673D78">
        <w:rPr>
          <w:rFonts w:ascii="Verdana" w:hAnsi="Verdana" w:cs="Times New Roman"/>
          <w:lang w:val="en-US"/>
        </w:rPr>
        <w:t>,</w:t>
      </w:r>
      <w:r w:rsidRPr="00673D78">
        <w:rPr>
          <w:rFonts w:ascii="Verdana" w:hAnsi="Verdana" w:cs="Times New Roman"/>
          <w:lang w:val="en-US"/>
        </w:rPr>
        <w:t xml:space="preserve"> and will be preceded by regional consultations on 2 November 2014. </w:t>
      </w:r>
    </w:p>
    <w:p w:rsidR="00A30C87" w:rsidRPr="00673D78" w:rsidRDefault="00A30C87" w:rsidP="00B45B3E">
      <w:pPr>
        <w:spacing w:after="120" w:line="240" w:lineRule="auto"/>
        <w:ind w:left="57"/>
        <w:rPr>
          <w:rFonts w:ascii="Verdana" w:hAnsi="Verdana" w:cs="Times New Roman"/>
          <w:lang w:val="en-US"/>
        </w:rPr>
      </w:pPr>
    </w:p>
    <w:p w:rsidR="004347FA" w:rsidRPr="00673D78" w:rsidRDefault="004347FA" w:rsidP="00B45B3E">
      <w:pPr>
        <w:pStyle w:val="Prrafodelista"/>
        <w:numPr>
          <w:ilvl w:val="0"/>
          <w:numId w:val="3"/>
        </w:numPr>
        <w:spacing w:after="120" w:line="240" w:lineRule="auto"/>
        <w:ind w:left="57" w:firstLine="0"/>
        <w:contextualSpacing w:val="0"/>
        <w:rPr>
          <w:rFonts w:ascii="Verdana" w:hAnsi="Verdana" w:cs="Times New Roman"/>
          <w:b/>
          <w:lang w:val="en-US"/>
        </w:rPr>
      </w:pPr>
      <w:r w:rsidRPr="00673D78">
        <w:rPr>
          <w:rFonts w:ascii="Verdana" w:hAnsi="Verdana" w:cs="Times New Roman"/>
          <w:b/>
          <w:lang w:val="en-US"/>
        </w:rPr>
        <w:t>The Minamata Convention on Mercury</w:t>
      </w:r>
    </w:p>
    <w:p w:rsidR="00E673C3" w:rsidRPr="00673D78" w:rsidRDefault="00E673C3"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The Minamata Convention on Mercury has the objective to protect the human health and the environment from anthropogenic emissions and releases of mercury and mercury compounds.</w:t>
      </w:r>
      <w:r w:rsidR="00A623A5" w:rsidRPr="00673D78">
        <w:rPr>
          <w:rFonts w:ascii="Verdana" w:hAnsi="Verdana" w:cs="Times New Roman"/>
          <w:lang w:val="en-US"/>
        </w:rPr>
        <w:t xml:space="preserve"> To this end, the Convention includes a range of measures to control emissions and releases of mercury throughout its lifecycle, including:</w:t>
      </w:r>
    </w:p>
    <w:p w:rsidR="006C57E9" w:rsidRPr="00673D78" w:rsidRDefault="003B03D6"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 xml:space="preserve">Measures to control </w:t>
      </w:r>
      <w:r w:rsidR="00E673C3" w:rsidRPr="00673D78">
        <w:rPr>
          <w:rFonts w:ascii="Verdana" w:hAnsi="Verdana" w:cs="Times New Roman"/>
          <w:lang w:val="en-US"/>
        </w:rPr>
        <w:t>the</w:t>
      </w:r>
      <w:r w:rsidRPr="00673D78">
        <w:rPr>
          <w:rFonts w:ascii="Verdana" w:hAnsi="Verdana" w:cs="Times New Roman"/>
          <w:lang w:val="en-US"/>
        </w:rPr>
        <w:t xml:space="preserve"> </w:t>
      </w:r>
      <w:r w:rsidR="00E673C3" w:rsidRPr="00673D78">
        <w:rPr>
          <w:rFonts w:ascii="Verdana" w:hAnsi="Verdana" w:cs="Times New Roman"/>
          <w:lang w:val="en-US"/>
        </w:rPr>
        <w:t>supply and trade of mercury, including limitations on certain specific</w:t>
      </w:r>
      <w:r w:rsidRPr="00673D78">
        <w:rPr>
          <w:rFonts w:ascii="Verdana" w:hAnsi="Verdana" w:cs="Times New Roman"/>
          <w:lang w:val="en-US"/>
        </w:rPr>
        <w:t xml:space="preserve"> </w:t>
      </w:r>
      <w:r w:rsidR="00E673C3" w:rsidRPr="00673D78">
        <w:rPr>
          <w:rFonts w:ascii="Verdana" w:hAnsi="Verdana" w:cs="Times New Roman"/>
          <w:lang w:val="en-US"/>
        </w:rPr>
        <w:t>sources of mercury, such as from primary mining</w:t>
      </w:r>
      <w:r w:rsidR="006C57E9" w:rsidRPr="00673D78">
        <w:rPr>
          <w:rFonts w:ascii="Verdana" w:hAnsi="Verdana" w:cs="Times New Roman"/>
          <w:lang w:val="en-US"/>
        </w:rPr>
        <w:t xml:space="preserve"> (ban on new primary mercury mines; </w:t>
      </w:r>
      <w:r w:rsidR="006F4D42" w:rsidRPr="00673D78">
        <w:rPr>
          <w:rFonts w:ascii="Verdana" w:hAnsi="Verdana" w:cs="Times New Roman"/>
          <w:lang w:val="en-US"/>
        </w:rPr>
        <w:t xml:space="preserve">phase-out of the </w:t>
      </w:r>
      <w:r w:rsidR="006C57E9" w:rsidRPr="00673D78">
        <w:rPr>
          <w:rFonts w:ascii="Verdana" w:hAnsi="Verdana" w:cs="Times New Roman"/>
          <w:lang w:val="en-US"/>
        </w:rPr>
        <w:t>existing</w:t>
      </w:r>
      <w:r w:rsidR="006F4D42" w:rsidRPr="00673D78">
        <w:rPr>
          <w:rFonts w:ascii="Verdana" w:hAnsi="Verdana" w:cs="Times New Roman"/>
          <w:lang w:val="en-US"/>
        </w:rPr>
        <w:t xml:space="preserve"> ones over a period of up to 15 years since </w:t>
      </w:r>
      <w:r w:rsidR="006C57E9" w:rsidRPr="00673D78">
        <w:rPr>
          <w:rFonts w:ascii="Verdana" w:hAnsi="Verdana" w:cs="Times New Roman"/>
          <w:lang w:val="en-US"/>
        </w:rPr>
        <w:t>the date of ent</w:t>
      </w:r>
      <w:r w:rsidR="006F4D42" w:rsidRPr="00673D78">
        <w:rPr>
          <w:rFonts w:ascii="Verdana" w:hAnsi="Verdana" w:cs="Times New Roman"/>
          <w:lang w:val="en-US"/>
        </w:rPr>
        <w:t>ry into force of the Convention)</w:t>
      </w:r>
      <w:r w:rsidR="00E673C3" w:rsidRPr="00673D78">
        <w:rPr>
          <w:rFonts w:ascii="Verdana" w:hAnsi="Verdana" w:cs="Times New Roman"/>
          <w:lang w:val="en-US"/>
        </w:rPr>
        <w:t>.</w:t>
      </w:r>
    </w:p>
    <w:p w:rsidR="006733EE" w:rsidRDefault="003B03D6"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C</w:t>
      </w:r>
      <w:r w:rsidR="00E673C3" w:rsidRPr="00673D78">
        <w:rPr>
          <w:rFonts w:ascii="Verdana" w:hAnsi="Verdana" w:cs="Times New Roman"/>
          <w:lang w:val="en-US"/>
        </w:rPr>
        <w:t>ontrol</w:t>
      </w:r>
      <w:r w:rsidRPr="00673D78">
        <w:rPr>
          <w:rFonts w:ascii="Verdana" w:hAnsi="Verdana" w:cs="Times New Roman"/>
          <w:lang w:val="en-US"/>
        </w:rPr>
        <w:t xml:space="preserve"> </w:t>
      </w:r>
      <w:r w:rsidR="00E673C3" w:rsidRPr="00673D78">
        <w:rPr>
          <w:rFonts w:ascii="Verdana" w:hAnsi="Verdana" w:cs="Times New Roman"/>
          <w:lang w:val="en-US"/>
        </w:rPr>
        <w:t xml:space="preserve">measures on </w:t>
      </w:r>
      <w:r w:rsidR="0021581E" w:rsidRPr="00673D78">
        <w:rPr>
          <w:rFonts w:ascii="Verdana" w:hAnsi="Verdana" w:cs="Times New Roman"/>
          <w:lang w:val="en-US"/>
        </w:rPr>
        <w:t xml:space="preserve">a range of </w:t>
      </w:r>
      <w:r w:rsidR="00E673C3" w:rsidRPr="00673D78">
        <w:rPr>
          <w:rFonts w:ascii="Verdana" w:hAnsi="Verdana" w:cs="Times New Roman"/>
          <w:lang w:val="en-US"/>
        </w:rPr>
        <w:t xml:space="preserve">mercury-added products </w:t>
      </w:r>
      <w:r w:rsidR="0021581E" w:rsidRPr="00673D78">
        <w:rPr>
          <w:rFonts w:ascii="Verdana" w:hAnsi="Verdana" w:cs="Times New Roman"/>
          <w:lang w:val="en-US"/>
        </w:rPr>
        <w:t>whose production, import and export will be banned by 2020</w:t>
      </w:r>
      <w:r w:rsidR="003923A8" w:rsidRPr="00673D78">
        <w:rPr>
          <w:rFonts w:ascii="Verdana" w:hAnsi="Verdana" w:cs="Times New Roman"/>
          <w:lang w:val="en-US"/>
        </w:rPr>
        <w:t>, except for use in a small range of exempt categories</w:t>
      </w:r>
      <w:r w:rsidR="0021581E" w:rsidRPr="00673D78">
        <w:rPr>
          <w:rFonts w:ascii="Verdana" w:hAnsi="Verdana" w:cs="Times New Roman"/>
          <w:lang w:val="en-US"/>
        </w:rPr>
        <w:t xml:space="preserve">. These items, which have non-mercury alternatives, include: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 xml:space="preserve">Batteries, except for certain 'button cell' batteries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 xml:space="preserve">Switches and relays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 xml:space="preserve">Some compact fluorescent lamps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 xml:space="preserve">Mercury in cold cathode fluorescent lamps and external electrode fluorescent lamps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 xml:space="preserve">Soaps and cosmetics (mercury is used in skin-whitening products) </w:t>
      </w:r>
    </w:p>
    <w:p w:rsidR="0021581E" w:rsidRPr="00673D78" w:rsidRDefault="0021581E" w:rsidP="00B45B3E">
      <w:pPr>
        <w:pStyle w:val="Prrafodelista"/>
        <w:numPr>
          <w:ilvl w:val="1"/>
          <w:numId w:val="7"/>
        </w:numPr>
        <w:spacing w:after="120" w:line="240" w:lineRule="auto"/>
        <w:ind w:left="567" w:firstLine="0"/>
        <w:contextualSpacing w:val="0"/>
        <w:jc w:val="both"/>
        <w:rPr>
          <w:rFonts w:ascii="Verdana" w:hAnsi="Verdana" w:cs="Times New Roman"/>
          <w:lang w:val="en-US"/>
        </w:rPr>
      </w:pPr>
      <w:r w:rsidRPr="00673D78">
        <w:rPr>
          <w:rFonts w:ascii="Verdana" w:hAnsi="Verdana" w:cs="Times New Roman"/>
          <w:lang w:val="en-US"/>
        </w:rPr>
        <w:t>Some mercury-containing medical items such as thermometers and blood pressure devices.</w:t>
      </w:r>
    </w:p>
    <w:p w:rsidR="003B03D6" w:rsidRPr="00673D78" w:rsidRDefault="001001E2"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Control measures on</w:t>
      </w:r>
      <w:r w:rsidR="00E673C3" w:rsidRPr="00673D78">
        <w:rPr>
          <w:rFonts w:ascii="Verdana" w:hAnsi="Verdana" w:cs="Times New Roman"/>
          <w:lang w:val="en-US"/>
        </w:rPr>
        <w:t xml:space="preserve"> manufacturing processes in</w:t>
      </w:r>
      <w:r w:rsidR="003B03D6" w:rsidRPr="00673D78">
        <w:rPr>
          <w:rFonts w:ascii="Verdana" w:hAnsi="Verdana" w:cs="Times New Roman"/>
          <w:lang w:val="en-US"/>
        </w:rPr>
        <w:t xml:space="preserve"> </w:t>
      </w:r>
      <w:r w:rsidR="00E673C3" w:rsidRPr="00673D78">
        <w:rPr>
          <w:rFonts w:ascii="Verdana" w:hAnsi="Verdana" w:cs="Times New Roman"/>
          <w:lang w:val="en-US"/>
        </w:rPr>
        <w:t>which mercur</w:t>
      </w:r>
      <w:r w:rsidRPr="00673D78">
        <w:rPr>
          <w:rFonts w:ascii="Verdana" w:hAnsi="Verdana" w:cs="Times New Roman"/>
          <w:lang w:val="en-US"/>
        </w:rPr>
        <w:t xml:space="preserve">y or mercury compounds are used. This includes processes like chlor-alkali production, or acetaldehyde production, where the use of mercury shall not be allowed after the phase-out date of 2025 and 2018, respectively. For </w:t>
      </w:r>
      <w:r w:rsidRPr="00673D78">
        <w:rPr>
          <w:rFonts w:ascii="Verdana" w:hAnsi="Verdana" w:cs="Times New Roman"/>
          <w:lang w:val="en-US"/>
        </w:rPr>
        <w:lastRenderedPageBreak/>
        <w:t xml:space="preserve">other processes, measures shall be taken to restrict the use of mercury, like the vinyl chloride monomer production. </w:t>
      </w:r>
    </w:p>
    <w:p w:rsidR="000A2562" w:rsidRPr="00673D78" w:rsidRDefault="003B03D6"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C</w:t>
      </w:r>
      <w:r w:rsidR="00E673C3" w:rsidRPr="00673D78">
        <w:rPr>
          <w:rFonts w:ascii="Verdana" w:hAnsi="Verdana" w:cs="Times New Roman"/>
          <w:lang w:val="en-US"/>
        </w:rPr>
        <w:t>ontrols on</w:t>
      </w:r>
      <w:r w:rsidRPr="00673D78">
        <w:rPr>
          <w:rFonts w:ascii="Verdana" w:hAnsi="Verdana" w:cs="Times New Roman"/>
          <w:lang w:val="en-US"/>
        </w:rPr>
        <w:t xml:space="preserve"> </w:t>
      </w:r>
      <w:r w:rsidR="00E673C3" w:rsidRPr="00673D78">
        <w:rPr>
          <w:rFonts w:ascii="Verdana" w:hAnsi="Verdana" w:cs="Times New Roman"/>
          <w:lang w:val="en-US"/>
        </w:rPr>
        <w:t>artisanal and small-scale gold mining</w:t>
      </w:r>
      <w:r w:rsidR="003923A8" w:rsidRPr="00673D78">
        <w:rPr>
          <w:rFonts w:ascii="Verdana" w:hAnsi="Verdana" w:cs="Times New Roman"/>
          <w:lang w:val="en-US"/>
        </w:rPr>
        <w:t xml:space="preserve"> using mercury</w:t>
      </w:r>
      <w:r w:rsidR="00E673C3" w:rsidRPr="00673D78">
        <w:rPr>
          <w:rFonts w:ascii="Verdana" w:hAnsi="Verdana" w:cs="Times New Roman"/>
          <w:lang w:val="en-US"/>
        </w:rPr>
        <w:t xml:space="preserve">. </w:t>
      </w:r>
      <w:r w:rsidR="000A2562" w:rsidRPr="00673D78">
        <w:rPr>
          <w:rFonts w:ascii="Verdana" w:hAnsi="Verdana" w:cs="Times New Roman"/>
          <w:lang w:val="en-US"/>
        </w:rPr>
        <w:t xml:space="preserve">Countries </w:t>
      </w:r>
      <w:r w:rsidR="003923A8" w:rsidRPr="00673D78">
        <w:rPr>
          <w:rFonts w:ascii="Verdana" w:hAnsi="Verdana" w:cs="Times New Roman"/>
          <w:lang w:val="en-US"/>
        </w:rPr>
        <w:t xml:space="preserve">which have identified that they have artisanal and small-scale gold mining in their territory at a level which is more than insignificant </w:t>
      </w:r>
      <w:r w:rsidR="000A2562" w:rsidRPr="00673D78">
        <w:rPr>
          <w:rFonts w:ascii="Verdana" w:hAnsi="Verdana" w:cs="Times New Roman"/>
          <w:lang w:val="en-US"/>
        </w:rPr>
        <w:t xml:space="preserve">shall take steps to reduce and, where feasible eliminate, the </w:t>
      </w:r>
      <w:r w:rsidR="00085AB6" w:rsidRPr="00673D78">
        <w:rPr>
          <w:rFonts w:ascii="Verdana" w:hAnsi="Verdana" w:cs="Times New Roman"/>
          <w:lang w:val="en-US"/>
        </w:rPr>
        <w:t xml:space="preserve">use of mercury </w:t>
      </w:r>
      <w:r w:rsidR="000A2562" w:rsidRPr="00673D78">
        <w:rPr>
          <w:rFonts w:ascii="Verdana" w:hAnsi="Verdana" w:cs="Times New Roman"/>
          <w:lang w:val="en-US"/>
        </w:rPr>
        <w:t>by small-scale miners</w:t>
      </w:r>
      <w:r w:rsidR="00085AB6" w:rsidRPr="00673D78">
        <w:rPr>
          <w:rFonts w:ascii="Verdana" w:hAnsi="Verdana" w:cs="Times New Roman"/>
          <w:lang w:val="en-US"/>
        </w:rPr>
        <w:t>,</w:t>
      </w:r>
      <w:r w:rsidR="000A2562" w:rsidRPr="00673D78">
        <w:rPr>
          <w:rFonts w:ascii="Verdana" w:hAnsi="Verdana" w:cs="Times New Roman"/>
          <w:lang w:val="en-US"/>
        </w:rPr>
        <w:t xml:space="preserve"> and national plans </w:t>
      </w:r>
      <w:r w:rsidR="00085AB6" w:rsidRPr="00673D78">
        <w:rPr>
          <w:rFonts w:ascii="Verdana" w:hAnsi="Verdana" w:cs="Times New Roman"/>
          <w:lang w:val="en-US"/>
        </w:rPr>
        <w:t xml:space="preserve">shall be developed </w:t>
      </w:r>
      <w:r w:rsidR="000A2562" w:rsidRPr="00673D78">
        <w:rPr>
          <w:rFonts w:ascii="Verdana" w:hAnsi="Verdana" w:cs="Times New Roman"/>
          <w:lang w:val="en-US"/>
        </w:rPr>
        <w:t>within three years of the treaty enter</w:t>
      </w:r>
      <w:r w:rsidR="00085AB6" w:rsidRPr="00673D78">
        <w:rPr>
          <w:rFonts w:ascii="Verdana" w:hAnsi="Verdana" w:cs="Times New Roman"/>
          <w:lang w:val="en-US"/>
        </w:rPr>
        <w:t>ing into force.</w:t>
      </w:r>
    </w:p>
    <w:p w:rsidR="003B03D6" w:rsidRPr="00673D78" w:rsidRDefault="00E673C3"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Emissions and releases of mercury</w:t>
      </w:r>
      <w:r w:rsidR="003B03D6" w:rsidRPr="00673D78">
        <w:rPr>
          <w:rFonts w:ascii="Verdana" w:hAnsi="Verdana" w:cs="Times New Roman"/>
          <w:lang w:val="en-US"/>
        </w:rPr>
        <w:t xml:space="preserve"> </w:t>
      </w:r>
      <w:r w:rsidRPr="00673D78">
        <w:rPr>
          <w:rFonts w:ascii="Verdana" w:hAnsi="Verdana" w:cs="Times New Roman"/>
          <w:lang w:val="en-US"/>
        </w:rPr>
        <w:t>each have a separate article, with controls directed to reducing levels of</w:t>
      </w:r>
      <w:r w:rsidR="003B03D6" w:rsidRPr="00673D78">
        <w:rPr>
          <w:rFonts w:ascii="Verdana" w:hAnsi="Verdana" w:cs="Times New Roman"/>
          <w:lang w:val="en-US"/>
        </w:rPr>
        <w:t xml:space="preserve"> </w:t>
      </w:r>
      <w:r w:rsidRPr="00673D78">
        <w:rPr>
          <w:rFonts w:ascii="Verdana" w:hAnsi="Verdana" w:cs="Times New Roman"/>
          <w:lang w:val="en-US"/>
        </w:rPr>
        <w:t xml:space="preserve">mercury </w:t>
      </w:r>
      <w:r w:rsidR="00CA3E3E" w:rsidRPr="00673D78">
        <w:rPr>
          <w:rFonts w:ascii="Verdana" w:hAnsi="Verdana" w:cs="Times New Roman"/>
          <w:lang w:val="en-US"/>
        </w:rPr>
        <w:t xml:space="preserve">emitted or released </w:t>
      </w:r>
      <w:r w:rsidRPr="00673D78">
        <w:rPr>
          <w:rFonts w:ascii="Verdana" w:hAnsi="Verdana" w:cs="Times New Roman"/>
          <w:lang w:val="en-US"/>
        </w:rPr>
        <w:t>while allowing flexibility to accommodate national development</w:t>
      </w:r>
      <w:r w:rsidR="003B03D6" w:rsidRPr="00673D78">
        <w:rPr>
          <w:rFonts w:ascii="Verdana" w:hAnsi="Verdana" w:cs="Times New Roman"/>
          <w:lang w:val="en-US"/>
        </w:rPr>
        <w:t xml:space="preserve"> </w:t>
      </w:r>
      <w:r w:rsidRPr="00673D78">
        <w:rPr>
          <w:rFonts w:ascii="Verdana" w:hAnsi="Verdana" w:cs="Times New Roman"/>
          <w:lang w:val="en-US"/>
        </w:rPr>
        <w:t xml:space="preserve">plans. </w:t>
      </w:r>
      <w:r w:rsidR="007A44C7" w:rsidRPr="00673D78">
        <w:rPr>
          <w:rFonts w:ascii="Verdana" w:hAnsi="Verdana" w:cs="Times New Roman"/>
          <w:lang w:val="en-US"/>
        </w:rPr>
        <w:t xml:space="preserve">Relevant sources of emissions listed by the Convention include coal-fired power plants, coal-fired industrial boilers, smelting and roasting processes used in the production of non-ferrous metals, waste incineration facilities, and cement clinker production facilities. </w:t>
      </w:r>
      <w:r w:rsidR="00CA3E3E" w:rsidRPr="00673D78">
        <w:rPr>
          <w:rFonts w:ascii="Verdana" w:hAnsi="Verdana" w:cs="Times New Roman"/>
          <w:lang w:val="en-US"/>
        </w:rPr>
        <w:t>Sources of releases are not identified in the Convention, and the release article applies only to sources which are not controlled under other articles in the Convention.  For both emissions and releases, differing levels of control apply to new and to existing sources.</w:t>
      </w:r>
    </w:p>
    <w:p w:rsidR="003B03D6" w:rsidRPr="00673D78" w:rsidRDefault="00C07D49"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M</w:t>
      </w:r>
      <w:r w:rsidR="00E673C3" w:rsidRPr="00673D78">
        <w:rPr>
          <w:rFonts w:ascii="Verdana" w:hAnsi="Verdana" w:cs="Times New Roman"/>
          <w:lang w:val="en-US"/>
        </w:rPr>
        <w:t>easures on environmentally sound interim</w:t>
      </w:r>
      <w:r w:rsidR="003B03D6" w:rsidRPr="00673D78">
        <w:rPr>
          <w:rFonts w:ascii="Verdana" w:hAnsi="Verdana" w:cs="Times New Roman"/>
          <w:lang w:val="en-US"/>
        </w:rPr>
        <w:t xml:space="preserve"> </w:t>
      </w:r>
      <w:r w:rsidR="00E673C3" w:rsidRPr="00673D78">
        <w:rPr>
          <w:rFonts w:ascii="Verdana" w:hAnsi="Verdana" w:cs="Times New Roman"/>
          <w:lang w:val="en-US"/>
        </w:rPr>
        <w:t>storage of mercury and on mercury wastes, as well as measures on</w:t>
      </w:r>
      <w:r w:rsidR="003B03D6" w:rsidRPr="00673D78">
        <w:rPr>
          <w:rFonts w:ascii="Verdana" w:hAnsi="Verdana" w:cs="Times New Roman"/>
          <w:lang w:val="en-US"/>
        </w:rPr>
        <w:t xml:space="preserve"> </w:t>
      </w:r>
      <w:r w:rsidR="00E673C3" w:rsidRPr="00673D78">
        <w:rPr>
          <w:rFonts w:ascii="Verdana" w:hAnsi="Verdana" w:cs="Times New Roman"/>
          <w:lang w:val="en-US"/>
        </w:rPr>
        <w:t xml:space="preserve">contaminated sites. </w:t>
      </w:r>
    </w:p>
    <w:p w:rsidR="009104CF" w:rsidRPr="00673D78" w:rsidRDefault="009104CF" w:rsidP="00B45B3E">
      <w:pPr>
        <w:pStyle w:val="Prrafodelista"/>
        <w:numPr>
          <w:ilvl w:val="0"/>
          <w:numId w:val="7"/>
        </w:numPr>
        <w:spacing w:after="120" w:line="240" w:lineRule="auto"/>
        <w:ind w:left="227" w:firstLine="0"/>
        <w:contextualSpacing w:val="0"/>
        <w:jc w:val="both"/>
        <w:rPr>
          <w:rFonts w:ascii="Verdana" w:hAnsi="Verdana" w:cs="Times New Roman"/>
          <w:lang w:val="en-US"/>
        </w:rPr>
      </w:pPr>
      <w:r w:rsidRPr="00673D78">
        <w:rPr>
          <w:rFonts w:ascii="Verdana" w:hAnsi="Verdana" w:cs="Times New Roman"/>
          <w:lang w:val="en-US"/>
        </w:rPr>
        <w:t>Provisions to promote the identification and protection of populations at risk, boosting medical care and better training of health-care professionals in identifying and treating mercury-related effects.</w:t>
      </w:r>
    </w:p>
    <w:p w:rsidR="0076495E" w:rsidRPr="00673D78" w:rsidRDefault="006F792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Other p</w:t>
      </w:r>
      <w:r w:rsidR="00E673C3" w:rsidRPr="00673D78">
        <w:rPr>
          <w:rFonts w:ascii="Verdana" w:hAnsi="Verdana" w:cs="Times New Roman"/>
          <w:lang w:val="en-US"/>
        </w:rPr>
        <w:t>rovision</w:t>
      </w:r>
      <w:r w:rsidRPr="00673D78">
        <w:rPr>
          <w:rFonts w:ascii="Verdana" w:hAnsi="Verdana" w:cs="Times New Roman"/>
          <w:lang w:val="en-US"/>
        </w:rPr>
        <w:t>s</w:t>
      </w:r>
      <w:r w:rsidR="00E673C3" w:rsidRPr="00673D78">
        <w:rPr>
          <w:rFonts w:ascii="Verdana" w:hAnsi="Verdana" w:cs="Times New Roman"/>
          <w:lang w:val="en-US"/>
        </w:rPr>
        <w:t xml:space="preserve"> </w:t>
      </w:r>
      <w:r w:rsidRPr="00673D78">
        <w:rPr>
          <w:rFonts w:ascii="Verdana" w:hAnsi="Verdana" w:cs="Times New Roman"/>
          <w:lang w:val="en-US"/>
        </w:rPr>
        <w:t>are</w:t>
      </w:r>
      <w:r w:rsidR="00E673C3" w:rsidRPr="00673D78">
        <w:rPr>
          <w:rFonts w:ascii="Verdana" w:hAnsi="Verdana" w:cs="Times New Roman"/>
          <w:lang w:val="en-US"/>
        </w:rPr>
        <w:t xml:space="preserve"> made within the text for financial and</w:t>
      </w:r>
      <w:r w:rsidR="003B03D6" w:rsidRPr="00673D78">
        <w:rPr>
          <w:rFonts w:ascii="Verdana" w:hAnsi="Verdana" w:cs="Times New Roman"/>
          <w:lang w:val="en-US"/>
        </w:rPr>
        <w:t xml:space="preserve"> </w:t>
      </w:r>
      <w:r w:rsidR="00E673C3" w:rsidRPr="00673D78">
        <w:rPr>
          <w:rFonts w:ascii="Verdana" w:hAnsi="Verdana" w:cs="Times New Roman"/>
          <w:lang w:val="en-US"/>
        </w:rPr>
        <w:t>technical support to developing countries and countries with economies</w:t>
      </w:r>
      <w:r w:rsidR="003B03D6" w:rsidRPr="00673D78">
        <w:rPr>
          <w:rFonts w:ascii="Verdana" w:hAnsi="Verdana" w:cs="Times New Roman"/>
          <w:lang w:val="en-US"/>
        </w:rPr>
        <w:t xml:space="preserve"> </w:t>
      </w:r>
      <w:r w:rsidR="00E673C3" w:rsidRPr="00673D78">
        <w:rPr>
          <w:rFonts w:ascii="Verdana" w:hAnsi="Verdana" w:cs="Times New Roman"/>
          <w:lang w:val="en-US"/>
        </w:rPr>
        <w:t>in transition, with a financial mechanism for the convention established</w:t>
      </w:r>
      <w:r w:rsidR="003B03D6" w:rsidRPr="00673D78">
        <w:rPr>
          <w:rFonts w:ascii="Verdana" w:hAnsi="Verdana" w:cs="Times New Roman"/>
          <w:lang w:val="en-US"/>
        </w:rPr>
        <w:t xml:space="preserve"> </w:t>
      </w:r>
      <w:r w:rsidR="00E673C3" w:rsidRPr="00673D78">
        <w:rPr>
          <w:rFonts w:ascii="Verdana" w:hAnsi="Verdana" w:cs="Times New Roman"/>
          <w:lang w:val="en-US"/>
        </w:rPr>
        <w:t>within the text.</w:t>
      </w:r>
      <w:r w:rsidR="00E93DF3" w:rsidRPr="00673D78">
        <w:rPr>
          <w:rFonts w:ascii="Verdana" w:hAnsi="Verdana" w:cs="Times New Roman"/>
          <w:lang w:val="en-US"/>
        </w:rPr>
        <w:t xml:space="preserve"> </w:t>
      </w:r>
      <w:r w:rsidR="0076495E" w:rsidRPr="00673D78">
        <w:rPr>
          <w:rFonts w:ascii="Verdana" w:hAnsi="Verdana" w:cs="Times New Roman"/>
          <w:lang w:val="en-US"/>
        </w:rPr>
        <w:t>Information exchange, public awareness, and res</w:t>
      </w:r>
      <w:r w:rsidR="00E93DF3" w:rsidRPr="00673D78">
        <w:rPr>
          <w:rFonts w:ascii="Verdana" w:hAnsi="Verdana" w:cs="Times New Roman"/>
          <w:lang w:val="en-US"/>
        </w:rPr>
        <w:t xml:space="preserve">earch </w:t>
      </w:r>
      <w:r w:rsidR="0076495E" w:rsidRPr="00673D78">
        <w:rPr>
          <w:rFonts w:ascii="Verdana" w:hAnsi="Verdana" w:cs="Times New Roman"/>
          <w:lang w:val="en-US"/>
        </w:rPr>
        <w:t xml:space="preserve">are </w:t>
      </w:r>
      <w:r w:rsidR="00E93DF3" w:rsidRPr="00673D78">
        <w:rPr>
          <w:rFonts w:ascii="Verdana" w:hAnsi="Verdana" w:cs="Times New Roman"/>
          <w:lang w:val="en-US"/>
        </w:rPr>
        <w:t>also encouraged.</w:t>
      </w:r>
    </w:p>
    <w:p w:rsidR="00E72906" w:rsidRPr="00673D78" w:rsidRDefault="00E72906"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Following an initial assessment, countries may develop and execute </w:t>
      </w:r>
      <w:r w:rsidR="00705FFE" w:rsidRPr="00673D78">
        <w:rPr>
          <w:rFonts w:ascii="Verdana" w:hAnsi="Verdana" w:cs="Times New Roman"/>
          <w:lang w:val="en-US"/>
        </w:rPr>
        <w:t xml:space="preserve">implementation plans, taking into account their domestic circumstances, for meeting the obligations under the Convention. </w:t>
      </w:r>
    </w:p>
    <w:p w:rsidR="00E673C3" w:rsidRPr="00673D78" w:rsidRDefault="00705FFE"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The Minamata Convention on Mercury shall enter into force </w:t>
      </w:r>
      <w:r w:rsidR="00273518" w:rsidRPr="00673D78">
        <w:rPr>
          <w:rFonts w:ascii="Verdana" w:hAnsi="Verdana" w:cs="Times New Roman"/>
          <w:lang w:val="en-US"/>
        </w:rPr>
        <w:t xml:space="preserve">on the ninetieth day after the date of deposit of the fiftieth instrument of ratification, acceptance, approval or accession </w:t>
      </w:r>
      <w:r w:rsidRPr="00673D78">
        <w:rPr>
          <w:rFonts w:ascii="Verdana" w:hAnsi="Verdana" w:cs="Times New Roman"/>
          <w:lang w:val="en-US"/>
        </w:rPr>
        <w:t xml:space="preserve">. </w:t>
      </w:r>
      <w:r w:rsidR="00E93DF3" w:rsidRPr="00673D78">
        <w:rPr>
          <w:rFonts w:ascii="Verdana" w:hAnsi="Verdana" w:cs="Times New Roman"/>
          <w:lang w:val="en-US"/>
        </w:rPr>
        <w:t xml:space="preserve"> </w:t>
      </w:r>
    </w:p>
    <w:p w:rsidR="00482E3A" w:rsidRPr="00673D78" w:rsidRDefault="00482E3A" w:rsidP="00B45B3E">
      <w:pPr>
        <w:spacing w:after="120" w:line="240" w:lineRule="auto"/>
        <w:ind w:left="57"/>
        <w:jc w:val="both"/>
        <w:rPr>
          <w:rFonts w:ascii="Verdana" w:hAnsi="Verdana" w:cs="Times New Roman"/>
          <w:lang w:val="en-US"/>
        </w:rPr>
      </w:pPr>
    </w:p>
    <w:p w:rsidR="004347FA" w:rsidRPr="00673D78" w:rsidRDefault="004347FA" w:rsidP="00B45B3E">
      <w:pPr>
        <w:pStyle w:val="Prrafodelista"/>
        <w:numPr>
          <w:ilvl w:val="0"/>
          <w:numId w:val="3"/>
        </w:numPr>
        <w:spacing w:after="120" w:line="240" w:lineRule="auto"/>
        <w:ind w:left="57" w:firstLine="0"/>
        <w:contextualSpacing w:val="0"/>
        <w:rPr>
          <w:rFonts w:ascii="Verdana" w:hAnsi="Verdana" w:cs="Times New Roman"/>
          <w:b/>
          <w:lang w:val="en-US"/>
        </w:rPr>
      </w:pPr>
      <w:r w:rsidRPr="00673D78">
        <w:rPr>
          <w:rFonts w:ascii="Verdana" w:hAnsi="Verdana" w:cs="Times New Roman"/>
          <w:b/>
          <w:lang w:val="en-US"/>
        </w:rPr>
        <w:t>Background on the situation of mercury in the LAC region</w:t>
      </w:r>
    </w:p>
    <w:p w:rsidR="004347FA" w:rsidRDefault="004347FA" w:rsidP="00B45B3E">
      <w:pPr>
        <w:spacing w:after="120" w:line="240" w:lineRule="auto"/>
        <w:ind w:left="57"/>
        <w:rPr>
          <w:rFonts w:ascii="Verdana" w:hAnsi="Verdana" w:cs="Times New Roman"/>
          <w:lang w:val="en-US"/>
        </w:rPr>
      </w:pPr>
    </w:p>
    <w:p w:rsidR="00C64F11" w:rsidRPr="00673D78" w:rsidRDefault="00C64F11"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Pr>
          <w:rFonts w:ascii="Verdana" w:hAnsi="Verdana" w:cs="Times New Roman"/>
          <w:lang w:val="en-US"/>
        </w:rPr>
        <w:t>A summary of the situation of mercury in the region of Latin America and the Caribbean, for some of the key elements addressed by the Minamata Convention, is presented below:</w:t>
      </w:r>
      <w:r w:rsidRPr="00673D78">
        <w:rPr>
          <w:rFonts w:ascii="Verdana" w:hAnsi="Verdana" w:cs="Times New Roman"/>
          <w:lang w:val="en-US"/>
        </w:rPr>
        <w:t xml:space="preserve">  </w:t>
      </w:r>
    </w:p>
    <w:p w:rsidR="004347FA" w:rsidRPr="00673D78" w:rsidRDefault="004347FA" w:rsidP="00B45B3E">
      <w:pPr>
        <w:pStyle w:val="Prrafodelista"/>
        <w:numPr>
          <w:ilvl w:val="0"/>
          <w:numId w:val="15"/>
        </w:numPr>
        <w:spacing w:after="120" w:line="240" w:lineRule="auto"/>
        <w:contextualSpacing w:val="0"/>
        <w:jc w:val="both"/>
        <w:rPr>
          <w:rFonts w:ascii="Verdana" w:hAnsi="Verdana" w:cs="Times New Roman"/>
          <w:lang w:val="en-US"/>
        </w:rPr>
      </w:pPr>
      <w:r w:rsidRPr="00673D78">
        <w:rPr>
          <w:rFonts w:ascii="Verdana" w:hAnsi="Verdana" w:cs="Times New Roman"/>
          <w:lang w:val="en-US"/>
        </w:rPr>
        <w:t>Supply and trade</w:t>
      </w:r>
      <w:r w:rsidR="00124CC8" w:rsidRPr="00673D78">
        <w:rPr>
          <w:rFonts w:ascii="Verdana" w:hAnsi="Verdana" w:cs="Times New Roman"/>
          <w:lang w:val="en-US"/>
        </w:rPr>
        <w:t xml:space="preserve">: </w:t>
      </w:r>
      <w:r w:rsidR="00DF3B1E" w:rsidRPr="00673D78">
        <w:rPr>
          <w:rFonts w:ascii="Verdana" w:hAnsi="Verdana" w:cs="Times New Roman"/>
          <w:lang w:val="en-US"/>
        </w:rPr>
        <w:t xml:space="preserve">in the region of Latin America and the Caribbean secondary production of mercury has been reported in some countries as a byproduct of large-scale gold mining, or from historical waste (tailings) of silver mining. Formal primary </w:t>
      </w:r>
      <w:r w:rsidR="002F460D" w:rsidRPr="00673D78">
        <w:rPr>
          <w:rFonts w:ascii="Verdana" w:hAnsi="Verdana" w:cs="Times New Roman"/>
          <w:lang w:val="en-US"/>
        </w:rPr>
        <w:t xml:space="preserve">mercury </w:t>
      </w:r>
      <w:r w:rsidR="00DF3B1E" w:rsidRPr="00673D78">
        <w:rPr>
          <w:rFonts w:ascii="Verdana" w:hAnsi="Verdana" w:cs="Times New Roman"/>
          <w:lang w:val="en-US"/>
        </w:rPr>
        <w:t xml:space="preserve">mining has not been reported. </w:t>
      </w:r>
      <w:r w:rsidR="006223C9" w:rsidRPr="00673D78">
        <w:rPr>
          <w:rFonts w:ascii="Verdana" w:hAnsi="Verdana" w:cs="Times New Roman"/>
          <w:lang w:val="en-US"/>
        </w:rPr>
        <w:lastRenderedPageBreak/>
        <w:t>According to trade statistics, observed trends indicate that total imports of elemental mercury decreased during recent years, while exports continued to rise</w:t>
      </w:r>
      <w:r w:rsidR="00903EBC" w:rsidRPr="00673D78">
        <w:rPr>
          <w:rFonts w:ascii="Verdana" w:hAnsi="Verdana" w:cs="Times New Roman"/>
          <w:lang w:val="en-US"/>
        </w:rPr>
        <w:t xml:space="preserve"> (up to around 560 tons by 2012)</w:t>
      </w:r>
      <w:r w:rsidR="006223C9" w:rsidRPr="00673D78">
        <w:rPr>
          <w:rFonts w:ascii="Verdana" w:hAnsi="Verdana" w:cs="Times New Roman"/>
          <w:lang w:val="en-US"/>
        </w:rPr>
        <w:t xml:space="preserve">. The </w:t>
      </w:r>
      <w:r w:rsidR="007D4D81" w:rsidRPr="00673D78">
        <w:rPr>
          <w:rFonts w:ascii="Verdana" w:hAnsi="Verdana" w:cs="Times New Roman"/>
          <w:lang w:val="en-US"/>
        </w:rPr>
        <w:t xml:space="preserve">share of </w:t>
      </w:r>
      <w:r w:rsidR="006223C9" w:rsidRPr="00673D78">
        <w:rPr>
          <w:rFonts w:ascii="Verdana" w:hAnsi="Verdana" w:cs="Times New Roman"/>
          <w:lang w:val="en-US"/>
        </w:rPr>
        <w:t xml:space="preserve">intra-regional trade has notably increased during the last years, particularly after the ban on the export of mercury from the European Union and the United States. </w:t>
      </w:r>
      <w:r w:rsidR="00903EBC" w:rsidRPr="00673D78">
        <w:rPr>
          <w:rFonts w:ascii="Verdana" w:hAnsi="Verdana" w:cs="Times New Roman"/>
          <w:lang w:val="en-US"/>
        </w:rPr>
        <w:t xml:space="preserve">It must be noted however that trade statistics are not always complete and consistent; therefore an updated and thorough analysis </w:t>
      </w:r>
      <w:r w:rsidR="006F2A2C" w:rsidRPr="00673D78">
        <w:rPr>
          <w:rFonts w:ascii="Verdana" w:hAnsi="Verdana" w:cs="Times New Roman"/>
          <w:lang w:val="en-US"/>
        </w:rPr>
        <w:t xml:space="preserve">of mercury flows and trends </w:t>
      </w:r>
      <w:r w:rsidR="00903EBC" w:rsidRPr="00673D78">
        <w:rPr>
          <w:rFonts w:ascii="Verdana" w:hAnsi="Verdana" w:cs="Times New Roman"/>
          <w:lang w:val="en-US"/>
        </w:rPr>
        <w:t xml:space="preserve">would be needed for the region.  </w:t>
      </w:r>
    </w:p>
    <w:p w:rsidR="004347FA" w:rsidRPr="00673D78" w:rsidRDefault="004347FA" w:rsidP="00B45B3E">
      <w:pPr>
        <w:pStyle w:val="Prrafodelista"/>
        <w:numPr>
          <w:ilvl w:val="0"/>
          <w:numId w:val="15"/>
        </w:numPr>
        <w:spacing w:after="120" w:line="240" w:lineRule="auto"/>
        <w:contextualSpacing w:val="0"/>
        <w:jc w:val="both"/>
        <w:rPr>
          <w:rFonts w:ascii="Verdana" w:hAnsi="Verdana" w:cs="Times New Roman"/>
          <w:lang w:val="en-US"/>
        </w:rPr>
      </w:pPr>
      <w:r w:rsidRPr="00673D78">
        <w:rPr>
          <w:rFonts w:ascii="Verdana" w:hAnsi="Verdana" w:cs="Times New Roman"/>
          <w:lang w:val="en-US"/>
        </w:rPr>
        <w:t>Products and processes</w:t>
      </w:r>
      <w:r w:rsidR="00903EBC" w:rsidRPr="00673D78">
        <w:rPr>
          <w:rFonts w:ascii="Verdana" w:hAnsi="Verdana" w:cs="Times New Roman"/>
          <w:lang w:val="en-US"/>
        </w:rPr>
        <w:t xml:space="preserve">: </w:t>
      </w:r>
      <w:r w:rsidR="00553D15" w:rsidRPr="00673D78">
        <w:rPr>
          <w:rFonts w:ascii="Verdana" w:hAnsi="Verdana" w:cs="Times New Roman"/>
          <w:lang w:val="en-US"/>
        </w:rPr>
        <w:t>mercury-added products are generally imported but not produced in the region. It has been estimated that the products consumed in LAC represents about 10% of the mercury used globally in products, mainly in dental applications, measuring devices and dental applications</w:t>
      </w:r>
      <w:r w:rsidR="00553D15" w:rsidRPr="00673D78">
        <w:rPr>
          <w:rStyle w:val="Refdenotaalpie"/>
          <w:rFonts w:ascii="Verdana" w:hAnsi="Verdana" w:cs="Times New Roman"/>
          <w:lang w:val="en-US"/>
        </w:rPr>
        <w:footnoteReference w:id="2"/>
      </w:r>
      <w:r w:rsidR="00553D15" w:rsidRPr="00673D78">
        <w:rPr>
          <w:rFonts w:ascii="Verdana" w:hAnsi="Verdana" w:cs="Times New Roman"/>
          <w:lang w:val="en-US"/>
        </w:rPr>
        <w:t xml:space="preserve">.  </w:t>
      </w:r>
      <w:r w:rsidR="00F506F2" w:rsidRPr="00673D78">
        <w:rPr>
          <w:rFonts w:ascii="Verdana" w:hAnsi="Verdana" w:cs="Times New Roman"/>
          <w:lang w:val="en-US"/>
        </w:rPr>
        <w:t xml:space="preserve">Regarding manufacturing processes covered by the Convention, only chlor-alkali production has been identified in the region. According to the UNEP global inventory of chlor-alkali plants and national information, by 2012 there were 11 plants with mercury cell technology operating in 7 LAC countries (accounting for about 13% of global chlorine production with mercury cells). </w:t>
      </w:r>
      <w:r w:rsidR="005F60C6" w:rsidRPr="00673D78">
        <w:rPr>
          <w:rFonts w:ascii="Verdana" w:hAnsi="Verdana" w:cs="Times New Roman"/>
          <w:lang w:val="en-US"/>
        </w:rPr>
        <w:t xml:space="preserve">Many of these </w:t>
      </w:r>
      <w:r w:rsidR="002F460D" w:rsidRPr="00673D78">
        <w:rPr>
          <w:rFonts w:ascii="Verdana" w:hAnsi="Verdana" w:cs="Times New Roman"/>
          <w:lang w:val="en-US"/>
        </w:rPr>
        <w:t>facilities</w:t>
      </w:r>
      <w:r w:rsidR="005F60C6" w:rsidRPr="00673D78">
        <w:rPr>
          <w:rFonts w:ascii="Verdana" w:hAnsi="Verdana" w:cs="Times New Roman"/>
          <w:lang w:val="en-US"/>
        </w:rPr>
        <w:t xml:space="preserve"> have plans to convert to mercury-free technology by 2020. </w:t>
      </w:r>
    </w:p>
    <w:p w:rsidR="004347FA" w:rsidRPr="00673D78" w:rsidRDefault="004347FA" w:rsidP="00B45B3E">
      <w:pPr>
        <w:pStyle w:val="Prrafodelista"/>
        <w:numPr>
          <w:ilvl w:val="0"/>
          <w:numId w:val="15"/>
        </w:numPr>
        <w:spacing w:after="120" w:line="240" w:lineRule="auto"/>
        <w:contextualSpacing w:val="0"/>
        <w:jc w:val="both"/>
        <w:rPr>
          <w:rFonts w:ascii="Verdana" w:hAnsi="Verdana" w:cs="Times New Roman"/>
          <w:lang w:val="en-US"/>
        </w:rPr>
      </w:pPr>
      <w:r w:rsidRPr="00673D78">
        <w:rPr>
          <w:rFonts w:ascii="Verdana" w:hAnsi="Verdana" w:cs="Times New Roman"/>
          <w:lang w:val="en-US"/>
        </w:rPr>
        <w:t>Emissions and releases</w:t>
      </w:r>
      <w:r w:rsidR="00261916" w:rsidRPr="00673D78">
        <w:rPr>
          <w:rFonts w:ascii="Verdana" w:hAnsi="Verdana" w:cs="Times New Roman"/>
          <w:lang w:val="en-US"/>
        </w:rPr>
        <w:t xml:space="preserve">: </w:t>
      </w:r>
      <w:r w:rsidR="00A83DB0" w:rsidRPr="00673D78">
        <w:rPr>
          <w:rFonts w:ascii="Verdana" w:hAnsi="Verdana" w:cs="Times New Roman"/>
          <w:lang w:val="en-US"/>
        </w:rPr>
        <w:t xml:space="preserve">mercury emissions to air from the LAC region </w:t>
      </w:r>
      <w:r w:rsidR="00F71E0A" w:rsidRPr="00673D78">
        <w:rPr>
          <w:rFonts w:ascii="Verdana" w:hAnsi="Verdana" w:cs="Times New Roman"/>
          <w:lang w:val="en-US"/>
        </w:rPr>
        <w:t xml:space="preserve">were estimated in 292 tonnes by 2012, that is, </w:t>
      </w:r>
      <w:r w:rsidR="00A83DB0" w:rsidRPr="00673D78">
        <w:rPr>
          <w:rFonts w:ascii="Verdana" w:hAnsi="Verdana" w:cs="Times New Roman"/>
          <w:lang w:val="en-US"/>
        </w:rPr>
        <w:t xml:space="preserve">15% </w:t>
      </w:r>
      <w:r w:rsidR="00F71E0A" w:rsidRPr="00673D78">
        <w:rPr>
          <w:rFonts w:ascii="Verdana" w:hAnsi="Verdana" w:cs="Times New Roman"/>
          <w:lang w:val="en-US"/>
        </w:rPr>
        <w:t xml:space="preserve">of mercury emitted globally. Within the region, about 263 tonnes (90%) were emitted in South America. </w:t>
      </w:r>
      <w:r w:rsidR="00A802D0" w:rsidRPr="00673D78">
        <w:rPr>
          <w:rFonts w:ascii="Verdana" w:hAnsi="Verdana" w:cs="Times New Roman"/>
          <w:lang w:val="en-US"/>
        </w:rPr>
        <w:t xml:space="preserve">The major source of emissions in the region is the use of mercury in artisanal and small-scale gold mining, which represents 71% of total LAC emissions, followed by non-ferrous metals production (11%) and large-scale gold production (7%). Releases to water are </w:t>
      </w:r>
      <w:r w:rsidR="00CA3E3E" w:rsidRPr="00673D78">
        <w:rPr>
          <w:rFonts w:ascii="Verdana" w:hAnsi="Verdana" w:cs="Times New Roman"/>
          <w:lang w:val="en-US"/>
        </w:rPr>
        <w:t>more challenging to estimate</w:t>
      </w:r>
      <w:r w:rsidR="00A802D0" w:rsidRPr="00673D78">
        <w:rPr>
          <w:rFonts w:ascii="Verdana" w:hAnsi="Verdana" w:cs="Times New Roman"/>
          <w:lang w:val="en-US"/>
        </w:rPr>
        <w:t xml:space="preserve">, but artisanal gold mining is also believed to be a major source of pollution to aquatic environments. </w:t>
      </w:r>
    </w:p>
    <w:p w:rsidR="004347FA" w:rsidRPr="00673D78" w:rsidRDefault="002955B4" w:rsidP="00B45B3E">
      <w:pPr>
        <w:pStyle w:val="Prrafodelista"/>
        <w:numPr>
          <w:ilvl w:val="0"/>
          <w:numId w:val="15"/>
        </w:numPr>
        <w:spacing w:after="120" w:line="240" w:lineRule="auto"/>
        <w:contextualSpacing w:val="0"/>
        <w:jc w:val="both"/>
        <w:rPr>
          <w:rFonts w:ascii="Verdana" w:hAnsi="Verdana" w:cs="Times New Roman"/>
          <w:lang w:val="en-US"/>
        </w:rPr>
      </w:pPr>
      <w:r w:rsidRPr="00673D78">
        <w:rPr>
          <w:rFonts w:ascii="Verdana" w:hAnsi="Verdana" w:cs="Times New Roman"/>
          <w:lang w:val="en-US"/>
        </w:rPr>
        <w:t>Artisanal and small-scale gold mining:</w:t>
      </w:r>
      <w:r w:rsidR="006236D7" w:rsidRPr="00673D78">
        <w:rPr>
          <w:rFonts w:ascii="Verdana" w:hAnsi="Verdana" w:cs="Times New Roman"/>
          <w:lang w:val="en-US"/>
        </w:rPr>
        <w:t xml:space="preserve"> as indicated above, this sector represents the major source of mercury emissions and releases in the region. </w:t>
      </w:r>
      <w:r w:rsidR="00C04946" w:rsidRPr="00673D78">
        <w:rPr>
          <w:rFonts w:ascii="Verdana" w:hAnsi="Verdana" w:cs="Times New Roman"/>
          <w:lang w:val="en-US"/>
        </w:rPr>
        <w:t>The artisanal and small-scale gold mining is present in at least a dozen countries in the region, mainly in the Andes and Amazon basin, but also in Central America, involving at least 500,000 artisanal miners</w:t>
      </w:r>
      <w:r w:rsidR="00F24F46" w:rsidRPr="00673D78">
        <w:rPr>
          <w:rStyle w:val="Refdenotaalpie"/>
          <w:rFonts w:ascii="Verdana" w:hAnsi="Verdana" w:cs="Times New Roman"/>
          <w:lang w:val="en-US"/>
        </w:rPr>
        <w:footnoteReference w:id="3"/>
      </w:r>
      <w:r w:rsidR="00C04946" w:rsidRPr="00673D78">
        <w:rPr>
          <w:rFonts w:ascii="Verdana" w:hAnsi="Verdana" w:cs="Times New Roman"/>
          <w:lang w:val="en-US"/>
        </w:rPr>
        <w:t xml:space="preserve">.  </w:t>
      </w:r>
      <w:r w:rsidR="009837F0" w:rsidRPr="00673D78">
        <w:rPr>
          <w:rFonts w:ascii="Verdana" w:hAnsi="Verdana" w:cs="Times New Roman"/>
          <w:lang w:val="en-US"/>
        </w:rPr>
        <w:t xml:space="preserve">This activity has a significant impact on the current demand and trade of mercury in the region. </w:t>
      </w:r>
      <w:r w:rsidR="006236D7" w:rsidRPr="00673D78">
        <w:rPr>
          <w:rFonts w:ascii="Verdana" w:hAnsi="Verdana" w:cs="Times New Roman"/>
          <w:lang w:val="en-US"/>
        </w:rPr>
        <w:t xml:space="preserve"> </w:t>
      </w:r>
      <w:r w:rsidRPr="00673D78">
        <w:rPr>
          <w:rFonts w:ascii="Verdana" w:hAnsi="Verdana" w:cs="Times New Roman"/>
          <w:lang w:val="en-US"/>
        </w:rPr>
        <w:t xml:space="preserve"> </w:t>
      </w:r>
    </w:p>
    <w:p w:rsidR="00797CF8" w:rsidRPr="00673D78" w:rsidRDefault="00A6394C" w:rsidP="00B45B3E">
      <w:pPr>
        <w:pStyle w:val="Prrafodelista"/>
        <w:numPr>
          <w:ilvl w:val="0"/>
          <w:numId w:val="15"/>
        </w:numPr>
        <w:spacing w:after="120" w:line="240" w:lineRule="auto"/>
        <w:contextualSpacing w:val="0"/>
        <w:jc w:val="both"/>
        <w:rPr>
          <w:rFonts w:ascii="Verdana" w:hAnsi="Verdana" w:cs="Times New Roman"/>
          <w:lang w:val="en-US"/>
        </w:rPr>
      </w:pPr>
      <w:r w:rsidRPr="00673D78">
        <w:rPr>
          <w:rFonts w:ascii="Verdana" w:hAnsi="Verdana" w:cs="Times New Roman"/>
          <w:lang w:val="en-US"/>
        </w:rPr>
        <w:t>M</w:t>
      </w:r>
      <w:r w:rsidR="00797CF8" w:rsidRPr="00673D78">
        <w:rPr>
          <w:rFonts w:ascii="Verdana" w:hAnsi="Verdana" w:cs="Times New Roman"/>
          <w:lang w:val="en-US"/>
        </w:rPr>
        <w:t>ercury wastes</w:t>
      </w:r>
      <w:r w:rsidRPr="00673D78">
        <w:rPr>
          <w:rFonts w:ascii="Verdana" w:hAnsi="Verdana" w:cs="Times New Roman"/>
          <w:lang w:val="en-US"/>
        </w:rPr>
        <w:t xml:space="preserve">: separate collection of discarded mercury-added products and recycling of mercury is limited in the region. These products are frequently mixed with other municipal wastes that are disposed of in landfills. </w:t>
      </w:r>
      <w:r w:rsidR="00A57693" w:rsidRPr="00673D78">
        <w:rPr>
          <w:rFonts w:ascii="Verdana" w:hAnsi="Verdana" w:cs="Times New Roman"/>
          <w:lang w:val="en-US"/>
        </w:rPr>
        <w:t>Some countries have hazardous waste landfills authorized to receive mercury wastes. Specific facilities designed for the temporary storage of elemental mercury have not been identified in the region.</w:t>
      </w:r>
    </w:p>
    <w:p w:rsidR="00554036" w:rsidRPr="00673D78" w:rsidRDefault="003056B9"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lastRenderedPageBreak/>
        <w:t xml:space="preserve">While the region still faces a range of challenges to control mercury emissions and releases, </w:t>
      </w:r>
      <w:r w:rsidR="006125E8" w:rsidRPr="00673D78">
        <w:rPr>
          <w:rFonts w:ascii="Verdana" w:hAnsi="Verdana" w:cs="Times New Roman"/>
          <w:lang w:val="en-US"/>
        </w:rPr>
        <w:t xml:space="preserve">it is also worth mentioning that many countries have carried out important work in relation to mercury, including: </w:t>
      </w:r>
      <w:r w:rsidR="003B686A" w:rsidRPr="00673D78">
        <w:rPr>
          <w:rFonts w:ascii="Verdana" w:hAnsi="Verdana" w:cs="Times New Roman"/>
          <w:lang w:val="en-US"/>
        </w:rPr>
        <w:t xml:space="preserve">inventories of mercury emissions, phase-out of mercury products in the health sector, conversion of mercury-cell plants in the chlor-alkali industry, </w:t>
      </w:r>
      <w:r w:rsidR="002F460D" w:rsidRPr="00673D78">
        <w:rPr>
          <w:rFonts w:ascii="Verdana" w:hAnsi="Verdana" w:cs="Times New Roman"/>
          <w:lang w:val="en-US"/>
        </w:rPr>
        <w:t xml:space="preserve">or </w:t>
      </w:r>
      <w:r w:rsidR="003B686A" w:rsidRPr="00673D78">
        <w:rPr>
          <w:rFonts w:ascii="Verdana" w:hAnsi="Verdana" w:cs="Times New Roman"/>
          <w:lang w:val="en-US"/>
        </w:rPr>
        <w:t>formalization of miners and reduction of mercury use in artisanal gold mining</w:t>
      </w:r>
      <w:r w:rsidR="00842727" w:rsidRPr="00673D78">
        <w:rPr>
          <w:rFonts w:ascii="Verdana" w:hAnsi="Verdana" w:cs="Times New Roman"/>
          <w:lang w:val="en-US"/>
        </w:rPr>
        <w:t xml:space="preserve">. </w:t>
      </w:r>
    </w:p>
    <w:p w:rsidR="00554036" w:rsidRPr="00673D78" w:rsidRDefault="00554036" w:rsidP="00B45B3E">
      <w:pPr>
        <w:spacing w:after="120" w:line="240" w:lineRule="auto"/>
        <w:ind w:left="57"/>
        <w:rPr>
          <w:rFonts w:ascii="Verdana" w:hAnsi="Verdana" w:cs="Times New Roman"/>
          <w:lang w:val="en-US"/>
        </w:rPr>
      </w:pPr>
    </w:p>
    <w:p w:rsidR="004347FA" w:rsidRPr="00673D78" w:rsidRDefault="004347FA" w:rsidP="00B45B3E">
      <w:pPr>
        <w:pStyle w:val="Prrafodelista"/>
        <w:numPr>
          <w:ilvl w:val="0"/>
          <w:numId w:val="3"/>
        </w:numPr>
        <w:spacing w:after="120" w:line="240" w:lineRule="auto"/>
        <w:ind w:left="57" w:firstLine="0"/>
        <w:contextualSpacing w:val="0"/>
        <w:rPr>
          <w:rFonts w:ascii="Verdana" w:hAnsi="Verdana" w:cs="Times New Roman"/>
          <w:b/>
          <w:lang w:val="en-US"/>
        </w:rPr>
      </w:pPr>
      <w:r w:rsidRPr="00673D78">
        <w:rPr>
          <w:rFonts w:ascii="Verdana" w:hAnsi="Verdana" w:cs="Times New Roman"/>
          <w:b/>
          <w:lang w:val="en-US"/>
        </w:rPr>
        <w:t>UNEP action on mercury</w:t>
      </w:r>
    </w:p>
    <w:p w:rsidR="004347FA" w:rsidRPr="00673D78" w:rsidRDefault="004347FA" w:rsidP="00B45B3E">
      <w:pPr>
        <w:spacing w:after="120" w:line="240" w:lineRule="auto"/>
        <w:ind w:left="57"/>
        <w:rPr>
          <w:rFonts w:ascii="Verdana" w:hAnsi="Verdana" w:cs="Times New Roman"/>
          <w:lang w:val="en-US"/>
        </w:rPr>
      </w:pPr>
    </w:p>
    <w:p w:rsidR="00E407A5" w:rsidRPr="00673D78" w:rsidRDefault="00E407A5"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Besides the support to negotiations of an international legally-binding instrument on mercury that were initiated in 2009, UNEP has delivered since 2003 a </w:t>
      </w:r>
      <w:r w:rsidR="008B63C3" w:rsidRPr="00673D78">
        <w:rPr>
          <w:rFonts w:ascii="Verdana" w:hAnsi="Verdana" w:cs="Times New Roman"/>
          <w:lang w:val="en-US"/>
        </w:rPr>
        <w:t>programme of activities to address the global challenge of mercury.</w:t>
      </w:r>
      <w:r w:rsidRPr="00673D78">
        <w:rPr>
          <w:rFonts w:ascii="Verdana" w:hAnsi="Verdana" w:cs="Times New Roman"/>
          <w:lang w:val="en-US"/>
        </w:rPr>
        <w:t xml:space="preserve"> In 2005 the UNEP Global Mercury Partnership was initiated to take immediate action on mercury. It is a multi-stakeholder partnership with eight priorities or partnership areas, consistent with the major sources of mercury (such as artisanal and small-scale gold mining, coal combustion, </w:t>
      </w:r>
      <w:proofErr w:type="gramStart"/>
      <w:r w:rsidRPr="00673D78">
        <w:rPr>
          <w:rFonts w:ascii="Verdana" w:hAnsi="Verdana" w:cs="Times New Roman"/>
          <w:lang w:val="en-US"/>
        </w:rPr>
        <w:t>chlor</w:t>
      </w:r>
      <w:proofErr w:type="gramEnd"/>
      <w:r w:rsidRPr="00673D78">
        <w:rPr>
          <w:rFonts w:ascii="Verdana" w:hAnsi="Verdana" w:cs="Times New Roman"/>
          <w:lang w:val="en-US"/>
        </w:rPr>
        <w:t xml:space="preserve">-alkali, mercury in products, or supply and storage). </w:t>
      </w:r>
    </w:p>
    <w:p w:rsidR="002F460D" w:rsidRPr="00673D78" w:rsidRDefault="005153AB"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During the </w:t>
      </w:r>
      <w:r w:rsidR="002F673A" w:rsidRPr="00673D78">
        <w:rPr>
          <w:rFonts w:ascii="Verdana" w:hAnsi="Verdana" w:cs="Times New Roman"/>
          <w:lang w:val="en-US"/>
        </w:rPr>
        <w:t xml:space="preserve">last years, several activities have been developed within the framework of the Global Mercury Partnership in the LAC region. </w:t>
      </w:r>
      <w:r w:rsidR="003C053A" w:rsidRPr="00673D78">
        <w:rPr>
          <w:rFonts w:ascii="Verdana" w:hAnsi="Verdana" w:cs="Times New Roman"/>
          <w:lang w:val="en-US"/>
        </w:rPr>
        <w:t xml:space="preserve">Two </w:t>
      </w:r>
      <w:r w:rsidR="00C46206" w:rsidRPr="00673D78">
        <w:rPr>
          <w:rFonts w:ascii="Verdana" w:hAnsi="Verdana" w:cs="Times New Roman"/>
          <w:lang w:val="en-US"/>
        </w:rPr>
        <w:t>bi-national project</w:t>
      </w:r>
      <w:r w:rsidR="003C053A" w:rsidRPr="00673D78">
        <w:rPr>
          <w:rFonts w:ascii="Verdana" w:hAnsi="Verdana" w:cs="Times New Roman"/>
          <w:lang w:val="en-US"/>
        </w:rPr>
        <w:t>s</w:t>
      </w:r>
      <w:r w:rsidR="00C46206" w:rsidRPr="00673D78">
        <w:rPr>
          <w:rFonts w:ascii="Verdana" w:hAnsi="Verdana" w:cs="Times New Roman"/>
          <w:lang w:val="en-US"/>
        </w:rPr>
        <w:t xml:space="preserve"> on the sound mercury storage and disposal </w:t>
      </w:r>
      <w:r w:rsidR="003C053A" w:rsidRPr="00673D78">
        <w:rPr>
          <w:rFonts w:ascii="Verdana" w:hAnsi="Verdana" w:cs="Times New Roman"/>
          <w:lang w:val="en-US"/>
        </w:rPr>
        <w:t xml:space="preserve">were conducted first in Argentina-Uruguay, and later in </w:t>
      </w:r>
      <w:r w:rsidR="00C46206" w:rsidRPr="00673D78">
        <w:rPr>
          <w:rFonts w:ascii="Verdana" w:hAnsi="Verdana" w:cs="Times New Roman"/>
          <w:lang w:val="en-US"/>
        </w:rPr>
        <w:t>Mexico</w:t>
      </w:r>
      <w:r w:rsidR="003C053A" w:rsidRPr="00673D78">
        <w:rPr>
          <w:rFonts w:ascii="Verdana" w:hAnsi="Verdana" w:cs="Times New Roman"/>
          <w:lang w:val="en-US"/>
        </w:rPr>
        <w:t>-</w:t>
      </w:r>
      <w:r w:rsidR="00C46206" w:rsidRPr="00673D78">
        <w:rPr>
          <w:rFonts w:ascii="Verdana" w:hAnsi="Verdana" w:cs="Times New Roman"/>
          <w:lang w:val="en-US"/>
        </w:rPr>
        <w:t xml:space="preserve">Panama, with the technical support of the </w:t>
      </w:r>
      <w:r w:rsidR="003C053A" w:rsidRPr="00673D78">
        <w:rPr>
          <w:rFonts w:ascii="Verdana" w:hAnsi="Verdana" w:cs="Times New Roman"/>
          <w:lang w:val="en-US"/>
        </w:rPr>
        <w:t xml:space="preserve">Basel and </w:t>
      </w:r>
      <w:r w:rsidR="00C46206" w:rsidRPr="00673D78">
        <w:rPr>
          <w:rFonts w:ascii="Verdana" w:hAnsi="Verdana" w:cs="Times New Roman"/>
          <w:lang w:val="en-US"/>
        </w:rPr>
        <w:t xml:space="preserve">Stockholm Convention regional centres based in these countries. In relation to artisanal and small-scale gold mining (ASGM), the region hosted the 2nd Global Forum on ASGM, which was held in Peru (Lima, September 2013), and joined 100 participants from around the world. Additionally, a sub-regional Andean Forum on ASGM was later organized in Colombia (Medellin, November 2013), where the need for further regional cooperation on this area was highlighted. UNEP has also supported projects to facilitate the development of National Action Plans on ASGM in Colombia, and Bolivia-Peru. </w:t>
      </w:r>
    </w:p>
    <w:p w:rsidR="00C46206" w:rsidRPr="00673D78" w:rsidRDefault="005D1B02"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Projects to reduce the use of mercury in products, such as medical devices or lamps, have also been conducted in several countries of the region. Additionally, many countries have used, or have been trained to use, the UNEP Toolkit to develop national inventories of mercury releases and inventories. </w:t>
      </w:r>
    </w:p>
    <w:p w:rsidR="00C46206" w:rsidRPr="00673D78" w:rsidRDefault="00C46206"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GEF mercury-related projects have also been prepared during this period, and a regional project on developing mercury inventories and action plans has recently been approved and is ready to be executed during the next couple of years.</w:t>
      </w:r>
    </w:p>
    <w:p w:rsidR="00E5536C" w:rsidRPr="00673D78" w:rsidRDefault="00E5536C"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In order to disseminate the scope and implications of Minamata Convention on Mercury to the LAC countries, a report is being prepared which describes the key provisions of the Convention, contextualized with regional data and information, including case studies of some of the actions already underway in different countries. </w:t>
      </w:r>
    </w:p>
    <w:p w:rsidR="000C41D4" w:rsidRPr="00673D78" w:rsidRDefault="000C41D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lastRenderedPageBreak/>
        <w:t>In preparation of the meetings of the Intergovernmental Negotiating Committee (INC), support was provided to the organization of the LAC regional consultations</w:t>
      </w:r>
      <w:r w:rsidR="0007280F" w:rsidRPr="00673D78">
        <w:rPr>
          <w:rFonts w:ascii="Verdana" w:hAnsi="Verdana" w:cs="Times New Roman"/>
          <w:lang w:val="en-US"/>
        </w:rPr>
        <w:t xml:space="preserve">. </w:t>
      </w:r>
      <w:r w:rsidR="00C56A63" w:rsidRPr="00673D78">
        <w:rPr>
          <w:rFonts w:ascii="Verdana" w:hAnsi="Verdana" w:cs="Times New Roman"/>
          <w:lang w:val="en-US"/>
        </w:rPr>
        <w:t xml:space="preserve">A preparatory </w:t>
      </w:r>
      <w:r w:rsidR="0007280F" w:rsidRPr="00673D78">
        <w:rPr>
          <w:rFonts w:ascii="Verdana" w:hAnsi="Verdana" w:cs="Times New Roman"/>
          <w:lang w:val="en-US"/>
        </w:rPr>
        <w:t>consultation</w:t>
      </w:r>
      <w:r w:rsidR="00C56A63" w:rsidRPr="00673D78">
        <w:rPr>
          <w:rFonts w:ascii="Verdana" w:hAnsi="Verdana" w:cs="Times New Roman"/>
          <w:lang w:val="en-US"/>
        </w:rPr>
        <w:t xml:space="preserve"> for INC4</w:t>
      </w:r>
      <w:r w:rsidR="0007280F" w:rsidRPr="00673D78">
        <w:rPr>
          <w:rFonts w:ascii="Verdana" w:hAnsi="Verdana" w:cs="Times New Roman"/>
          <w:lang w:val="en-US"/>
        </w:rPr>
        <w:t xml:space="preserve"> took place in Brasilia (May 2012),</w:t>
      </w:r>
      <w:r w:rsidRPr="00673D78">
        <w:rPr>
          <w:rFonts w:ascii="Verdana" w:hAnsi="Verdana" w:cs="Times New Roman"/>
          <w:lang w:val="en-US"/>
        </w:rPr>
        <w:t xml:space="preserve"> with the support of the Government of Brazil</w:t>
      </w:r>
      <w:r w:rsidR="0007280F" w:rsidRPr="00673D78">
        <w:rPr>
          <w:rFonts w:ascii="Verdana" w:hAnsi="Verdana" w:cs="Times New Roman"/>
          <w:lang w:val="en-US"/>
        </w:rPr>
        <w:t xml:space="preserve"> (</w:t>
      </w:r>
      <w:r w:rsidRPr="00673D78">
        <w:rPr>
          <w:rFonts w:ascii="Verdana" w:hAnsi="Verdana" w:cs="Times New Roman"/>
          <w:lang w:val="en-US"/>
        </w:rPr>
        <w:t>held back-to-back with a technical workshop on mercury waste management in the LAC region, supported by the Governments of Spain and Uruguay)</w:t>
      </w:r>
      <w:r w:rsidR="00C56A63" w:rsidRPr="00673D78">
        <w:rPr>
          <w:rFonts w:ascii="Verdana" w:hAnsi="Verdana" w:cs="Times New Roman"/>
          <w:lang w:val="en-US"/>
        </w:rPr>
        <w:t xml:space="preserve">.  INC4 was held in Uruguay in June 2012. A preparatory consultation for INC5 was held in </w:t>
      </w:r>
      <w:r w:rsidR="0007280F" w:rsidRPr="00673D78">
        <w:rPr>
          <w:rFonts w:ascii="Verdana" w:hAnsi="Verdana" w:cs="Times New Roman"/>
          <w:lang w:val="en-US"/>
        </w:rPr>
        <w:t xml:space="preserve">Bogota (November 2012), </w:t>
      </w:r>
      <w:r w:rsidRPr="00673D78">
        <w:rPr>
          <w:rFonts w:ascii="Verdana" w:hAnsi="Verdana" w:cs="Times New Roman"/>
          <w:lang w:val="en-US"/>
        </w:rPr>
        <w:t xml:space="preserve">with the support of the Government of Colombia. </w:t>
      </w:r>
    </w:p>
    <w:p w:rsidR="000C41D4" w:rsidRPr="00673D78" w:rsidRDefault="000C41D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In preparation of the Diplomatic Conference of the Minamata Convention (Japan, October 2013), relevant briefings were also circulated across the region, and participation of LAC countries was facilitated. UNEP also participated in the regional event to disseminate the Minamata Convention, which took place within the framework of the meeting of Ministers of Environment of MERCOSUR (Uruguay, May 2013).</w:t>
      </w:r>
      <w:r w:rsidR="005A3C60" w:rsidRPr="00673D78">
        <w:rPr>
          <w:rFonts w:ascii="Verdana" w:hAnsi="Verdana" w:cs="Times New Roman"/>
          <w:lang w:val="en-US"/>
        </w:rPr>
        <w:t xml:space="preserve"> </w:t>
      </w:r>
    </w:p>
    <w:p w:rsidR="000C41D4" w:rsidRPr="00673D78" w:rsidRDefault="00E21094"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During 2014 UNEP is planning to organize a regional workshop in Latin America (Central and South America) and another workshop in the Caribbean to support ratification and early implementation of the Minamata Convention on Mercury.</w:t>
      </w:r>
    </w:p>
    <w:p w:rsidR="00E21094" w:rsidRPr="00673D78" w:rsidRDefault="00E21094" w:rsidP="00B45B3E">
      <w:pPr>
        <w:spacing w:after="120" w:line="240" w:lineRule="auto"/>
        <w:ind w:left="57"/>
        <w:jc w:val="both"/>
        <w:rPr>
          <w:rFonts w:ascii="Verdana" w:hAnsi="Verdana" w:cs="Times New Roman"/>
          <w:lang w:val="en-US"/>
        </w:rPr>
      </w:pPr>
    </w:p>
    <w:p w:rsidR="004347FA" w:rsidRPr="00673D78" w:rsidRDefault="004347FA" w:rsidP="00B45B3E">
      <w:pPr>
        <w:pStyle w:val="Prrafodelista"/>
        <w:numPr>
          <w:ilvl w:val="0"/>
          <w:numId w:val="3"/>
        </w:numPr>
        <w:spacing w:after="120" w:line="240" w:lineRule="auto"/>
        <w:ind w:left="57" w:firstLine="0"/>
        <w:contextualSpacing w:val="0"/>
        <w:rPr>
          <w:rFonts w:ascii="Verdana" w:hAnsi="Verdana" w:cs="Times New Roman"/>
          <w:b/>
          <w:lang w:val="en-US"/>
        </w:rPr>
      </w:pPr>
      <w:r w:rsidRPr="00673D78">
        <w:rPr>
          <w:rFonts w:ascii="Verdana" w:hAnsi="Verdana" w:cs="Times New Roman"/>
          <w:b/>
          <w:lang w:val="en-US"/>
        </w:rPr>
        <w:t>Considerations for the countries</w:t>
      </w:r>
    </w:p>
    <w:p w:rsidR="004347FA" w:rsidRPr="00673D78" w:rsidRDefault="00C465FC" w:rsidP="00B45B3E">
      <w:pPr>
        <w:pStyle w:val="Prrafodelista"/>
        <w:numPr>
          <w:ilvl w:val="0"/>
          <w:numId w:val="13"/>
        </w:numPr>
        <w:spacing w:after="120" w:line="240" w:lineRule="auto"/>
        <w:ind w:left="57" w:firstLine="0"/>
        <w:contextualSpacing w:val="0"/>
        <w:jc w:val="both"/>
        <w:rPr>
          <w:rFonts w:ascii="Verdana" w:hAnsi="Verdana" w:cs="Times New Roman"/>
          <w:lang w:val="en-US"/>
        </w:rPr>
      </w:pPr>
      <w:r w:rsidRPr="00673D78">
        <w:rPr>
          <w:rFonts w:ascii="Verdana" w:hAnsi="Verdana" w:cs="Times New Roman"/>
          <w:lang w:val="en-US"/>
        </w:rPr>
        <w:t xml:space="preserve">In order to meet the objectives of the Minamata Convention on Mercury and facilitate its implementation, governments of the Latin America and Caribbean region are </w:t>
      </w:r>
      <w:r w:rsidR="00A91E1E" w:rsidRPr="00673D78">
        <w:rPr>
          <w:rFonts w:ascii="Verdana" w:hAnsi="Verdana" w:cs="Times New Roman"/>
          <w:lang w:val="en-US"/>
        </w:rPr>
        <w:t xml:space="preserve">invited and </w:t>
      </w:r>
      <w:r w:rsidRPr="00673D78">
        <w:rPr>
          <w:rFonts w:ascii="Verdana" w:hAnsi="Verdana" w:cs="Times New Roman"/>
          <w:lang w:val="en-US"/>
        </w:rPr>
        <w:t>encouraged to:</w:t>
      </w:r>
    </w:p>
    <w:p w:rsidR="00C465FC" w:rsidRPr="00673D78" w:rsidRDefault="00C465FC" w:rsidP="00B45B3E">
      <w:pPr>
        <w:pStyle w:val="Prrafodelista"/>
        <w:numPr>
          <w:ilvl w:val="0"/>
          <w:numId w:val="18"/>
        </w:numPr>
        <w:spacing w:after="120" w:line="240" w:lineRule="auto"/>
        <w:ind w:left="227" w:firstLine="0"/>
        <w:contextualSpacing w:val="0"/>
        <w:rPr>
          <w:rFonts w:ascii="Verdana" w:hAnsi="Verdana" w:cs="Times New Roman"/>
          <w:lang w:val="en-US"/>
        </w:rPr>
      </w:pPr>
      <w:r w:rsidRPr="00673D78">
        <w:rPr>
          <w:rFonts w:ascii="Verdana" w:hAnsi="Verdana" w:cs="Times New Roman"/>
          <w:lang w:val="en-US"/>
        </w:rPr>
        <w:t>Sign the Minamata Convention</w:t>
      </w:r>
      <w:bookmarkStart w:id="0" w:name="_GoBack"/>
      <w:r w:rsidR="00A91E1E" w:rsidRPr="00673D78">
        <w:rPr>
          <w:rFonts w:ascii="Verdana" w:hAnsi="Verdana" w:cs="Times New Roman"/>
          <w:lang w:val="en-US"/>
        </w:rPr>
        <w:t xml:space="preserve"> as soon as feasible</w:t>
      </w:r>
      <w:bookmarkEnd w:id="0"/>
      <w:r w:rsidRPr="00673D78">
        <w:rPr>
          <w:rFonts w:ascii="Verdana" w:hAnsi="Verdana" w:cs="Times New Roman"/>
          <w:lang w:val="en-US"/>
        </w:rPr>
        <w:t>, if they have not yet done so.</w:t>
      </w:r>
    </w:p>
    <w:p w:rsidR="00C465FC" w:rsidRPr="00673D78" w:rsidRDefault="00C465FC" w:rsidP="00B45B3E">
      <w:pPr>
        <w:pStyle w:val="Prrafodelista"/>
        <w:numPr>
          <w:ilvl w:val="0"/>
          <w:numId w:val="18"/>
        </w:numPr>
        <w:spacing w:after="120" w:line="240" w:lineRule="auto"/>
        <w:ind w:left="227" w:firstLine="0"/>
        <w:contextualSpacing w:val="0"/>
        <w:rPr>
          <w:rFonts w:ascii="Verdana" w:hAnsi="Verdana" w:cs="Times New Roman"/>
          <w:lang w:val="en-US"/>
        </w:rPr>
      </w:pPr>
      <w:r w:rsidRPr="00673D78">
        <w:rPr>
          <w:rFonts w:ascii="Verdana" w:hAnsi="Verdana" w:cs="Times New Roman"/>
          <w:lang w:val="en-US"/>
        </w:rPr>
        <w:t xml:space="preserve">Foster internal arrangements required by </w:t>
      </w:r>
      <w:r w:rsidR="00A91E1E" w:rsidRPr="00673D78">
        <w:rPr>
          <w:rFonts w:ascii="Verdana" w:hAnsi="Verdana" w:cs="Times New Roman"/>
          <w:lang w:val="en-US"/>
        </w:rPr>
        <w:t>their</w:t>
      </w:r>
      <w:r w:rsidRPr="00673D78">
        <w:rPr>
          <w:rFonts w:ascii="Verdana" w:hAnsi="Verdana" w:cs="Times New Roman"/>
          <w:lang w:val="en-US"/>
        </w:rPr>
        <w:t xml:space="preserve"> national legal framework</w:t>
      </w:r>
      <w:r w:rsidR="00A91E1E" w:rsidRPr="00673D78">
        <w:rPr>
          <w:rFonts w:ascii="Verdana" w:hAnsi="Verdana" w:cs="Times New Roman"/>
          <w:lang w:val="en-US"/>
        </w:rPr>
        <w:t>s</w:t>
      </w:r>
      <w:r w:rsidRPr="00673D78">
        <w:rPr>
          <w:rFonts w:ascii="Verdana" w:hAnsi="Verdana" w:cs="Times New Roman"/>
          <w:lang w:val="en-US"/>
        </w:rPr>
        <w:t xml:space="preserve"> to ratify</w:t>
      </w:r>
      <w:r w:rsidR="00C56A63" w:rsidRPr="00673D78">
        <w:rPr>
          <w:rFonts w:ascii="Verdana" w:hAnsi="Verdana" w:cs="Times New Roman"/>
          <w:lang w:val="en-US"/>
        </w:rPr>
        <w:t>, accept, approve or accede to the Convention thus</w:t>
      </w:r>
      <w:r w:rsidRPr="00673D78">
        <w:rPr>
          <w:rFonts w:ascii="Verdana" w:hAnsi="Verdana" w:cs="Times New Roman"/>
          <w:lang w:val="en-US"/>
        </w:rPr>
        <w:t xml:space="preserve"> </w:t>
      </w:r>
      <w:r w:rsidR="00A91E1E" w:rsidRPr="00673D78">
        <w:rPr>
          <w:rFonts w:ascii="Verdana" w:hAnsi="Verdana" w:cs="Times New Roman"/>
          <w:lang w:val="en-US"/>
        </w:rPr>
        <w:t>becom</w:t>
      </w:r>
      <w:r w:rsidR="00C56A63" w:rsidRPr="00673D78">
        <w:rPr>
          <w:rFonts w:ascii="Verdana" w:hAnsi="Verdana" w:cs="Times New Roman"/>
          <w:lang w:val="en-US"/>
        </w:rPr>
        <w:t>ing</w:t>
      </w:r>
      <w:r w:rsidR="00A91E1E" w:rsidRPr="00673D78">
        <w:rPr>
          <w:rFonts w:ascii="Verdana" w:hAnsi="Verdana" w:cs="Times New Roman"/>
          <w:lang w:val="en-US"/>
        </w:rPr>
        <w:t xml:space="preserve"> a Party</w:t>
      </w:r>
      <w:r w:rsidRPr="00673D78">
        <w:rPr>
          <w:rFonts w:ascii="Verdana" w:hAnsi="Verdana" w:cs="Times New Roman"/>
          <w:lang w:val="en-US"/>
        </w:rPr>
        <w:t xml:space="preserve">, </w:t>
      </w:r>
      <w:r w:rsidR="00C56A63" w:rsidRPr="00673D78">
        <w:rPr>
          <w:rFonts w:ascii="Verdana" w:hAnsi="Verdana" w:cs="Times New Roman"/>
          <w:lang w:val="en-US"/>
        </w:rPr>
        <w:t xml:space="preserve">contributing </w:t>
      </w:r>
      <w:r w:rsidR="00A91E1E" w:rsidRPr="00673D78">
        <w:rPr>
          <w:rFonts w:ascii="Verdana" w:hAnsi="Verdana" w:cs="Times New Roman"/>
          <w:lang w:val="en-US"/>
        </w:rPr>
        <w:t>to</w:t>
      </w:r>
      <w:r w:rsidRPr="00673D78">
        <w:rPr>
          <w:rFonts w:ascii="Verdana" w:hAnsi="Verdana" w:cs="Times New Roman"/>
          <w:lang w:val="en-US"/>
        </w:rPr>
        <w:t xml:space="preserve"> a</w:t>
      </w:r>
      <w:r w:rsidR="00A91E1E" w:rsidRPr="00673D78">
        <w:rPr>
          <w:rFonts w:ascii="Verdana" w:hAnsi="Verdana" w:cs="Times New Roman"/>
          <w:lang w:val="en-US"/>
        </w:rPr>
        <w:t xml:space="preserve"> rapid </w:t>
      </w:r>
      <w:r w:rsidRPr="00673D78">
        <w:rPr>
          <w:rFonts w:ascii="Verdana" w:hAnsi="Verdana" w:cs="Times New Roman"/>
          <w:lang w:val="en-US"/>
        </w:rPr>
        <w:t xml:space="preserve">entry into force of the treaty. </w:t>
      </w:r>
    </w:p>
    <w:p w:rsidR="00C465FC" w:rsidRPr="00673D78" w:rsidRDefault="00C53DB2" w:rsidP="00B45B3E">
      <w:pPr>
        <w:pStyle w:val="Prrafodelista"/>
        <w:numPr>
          <w:ilvl w:val="0"/>
          <w:numId w:val="18"/>
        </w:numPr>
        <w:spacing w:after="120" w:line="240" w:lineRule="auto"/>
        <w:ind w:left="227" w:firstLine="0"/>
        <w:contextualSpacing w:val="0"/>
        <w:rPr>
          <w:rFonts w:ascii="Verdana" w:hAnsi="Verdana" w:cs="Times New Roman"/>
          <w:lang w:val="en-US"/>
        </w:rPr>
      </w:pPr>
      <w:r w:rsidRPr="00673D78">
        <w:rPr>
          <w:rFonts w:ascii="Verdana" w:hAnsi="Verdana" w:cs="Times New Roman"/>
          <w:lang w:val="en-US"/>
        </w:rPr>
        <w:t xml:space="preserve">Take actions at national and regional level, with the support of international organizations and other stakeholders, to reduce and, where feasible eliminate, uses and releases of mercury, thus preventing exposure to population and environmental pollution. </w:t>
      </w:r>
      <w:r w:rsidR="00D953DB" w:rsidRPr="00673D78">
        <w:rPr>
          <w:rFonts w:ascii="Verdana" w:hAnsi="Verdana" w:cs="Times New Roman"/>
          <w:lang w:val="en-US"/>
        </w:rPr>
        <w:t>Such a</w:t>
      </w:r>
      <w:r w:rsidRPr="00673D78">
        <w:rPr>
          <w:rFonts w:ascii="Verdana" w:hAnsi="Verdana" w:cs="Times New Roman"/>
          <w:lang w:val="en-US"/>
        </w:rPr>
        <w:t>ctions may include:</w:t>
      </w:r>
    </w:p>
    <w:p w:rsidR="00507CA1" w:rsidRPr="00673D78" w:rsidRDefault="00507CA1"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t>Initial assessments of the situation on mercury, including identification of mercury flows, sources of emissions and releases, stocks, etc.</w:t>
      </w:r>
    </w:p>
    <w:p w:rsidR="00507CA1" w:rsidRPr="00673D78" w:rsidRDefault="00507CA1"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t>Establishment of inter-institutional and multi-stakeholder coordination mechanisms.</w:t>
      </w:r>
    </w:p>
    <w:p w:rsidR="00C53DB2" w:rsidRPr="00673D78" w:rsidRDefault="00C53DB2"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t>Development of legal and policy frameworks</w:t>
      </w:r>
      <w:r w:rsidR="00507CA1" w:rsidRPr="00673D78">
        <w:rPr>
          <w:rFonts w:ascii="Verdana" w:hAnsi="Verdana" w:cs="Times New Roman"/>
          <w:lang w:val="en-US"/>
        </w:rPr>
        <w:t>.</w:t>
      </w:r>
    </w:p>
    <w:p w:rsidR="00507CA1" w:rsidRPr="00673D78" w:rsidRDefault="00507CA1"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t>Development of Artisanal and Small Scale Gold Mining National Action Plans</w:t>
      </w:r>
      <w:r w:rsidR="00155D0E">
        <w:rPr>
          <w:rFonts w:ascii="Verdana" w:hAnsi="Verdana" w:cs="Times New Roman"/>
          <w:lang w:val="en-US"/>
        </w:rPr>
        <w:t>, if applicable</w:t>
      </w:r>
      <w:r w:rsidR="00C91E70" w:rsidRPr="00673D78">
        <w:rPr>
          <w:rFonts w:ascii="Verdana" w:hAnsi="Verdana" w:cs="Times New Roman"/>
          <w:lang w:val="en-US"/>
        </w:rPr>
        <w:t>.</w:t>
      </w:r>
    </w:p>
    <w:p w:rsidR="00D953DB" w:rsidRPr="00673D78" w:rsidRDefault="00507CA1"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lastRenderedPageBreak/>
        <w:t xml:space="preserve">Promotion of best available </w:t>
      </w:r>
      <w:r w:rsidR="00D953DB" w:rsidRPr="00673D78">
        <w:rPr>
          <w:rFonts w:ascii="Verdana" w:hAnsi="Verdana" w:cs="Times New Roman"/>
          <w:lang w:val="en-US"/>
        </w:rPr>
        <w:t>techniques</w:t>
      </w:r>
      <w:r w:rsidRPr="00673D78">
        <w:rPr>
          <w:rFonts w:ascii="Verdana" w:hAnsi="Verdana" w:cs="Times New Roman"/>
          <w:lang w:val="en-US"/>
        </w:rPr>
        <w:t xml:space="preserve"> and environmental sound practices to reduce</w:t>
      </w:r>
      <w:r w:rsidR="00D953DB" w:rsidRPr="00673D78">
        <w:rPr>
          <w:rFonts w:ascii="Verdana" w:hAnsi="Verdana" w:cs="Times New Roman"/>
          <w:lang w:val="en-US"/>
        </w:rPr>
        <w:t xml:space="preserve"> mercury </w:t>
      </w:r>
      <w:r w:rsidRPr="00673D78">
        <w:rPr>
          <w:rFonts w:ascii="Verdana" w:hAnsi="Verdana" w:cs="Times New Roman"/>
          <w:lang w:val="en-US"/>
        </w:rPr>
        <w:t xml:space="preserve">emissions and releases, and the sound management of mercury wastes.  </w:t>
      </w:r>
    </w:p>
    <w:p w:rsidR="00507CA1" w:rsidRPr="00673D78" w:rsidRDefault="00D7464A" w:rsidP="00B45B3E">
      <w:pPr>
        <w:pStyle w:val="Prrafodelista"/>
        <w:numPr>
          <w:ilvl w:val="1"/>
          <w:numId w:val="19"/>
        </w:numPr>
        <w:spacing w:after="120" w:line="240" w:lineRule="auto"/>
        <w:contextualSpacing w:val="0"/>
        <w:rPr>
          <w:rFonts w:ascii="Verdana" w:hAnsi="Verdana" w:cs="Times New Roman"/>
          <w:lang w:val="en-US"/>
        </w:rPr>
      </w:pPr>
      <w:r w:rsidRPr="00673D78">
        <w:rPr>
          <w:rFonts w:ascii="Verdana" w:hAnsi="Verdana" w:cs="Times New Roman"/>
          <w:lang w:val="en-US"/>
        </w:rPr>
        <w:t>Raise a</w:t>
      </w:r>
      <w:r w:rsidR="00D953DB" w:rsidRPr="00673D78">
        <w:rPr>
          <w:rFonts w:ascii="Verdana" w:hAnsi="Verdana" w:cs="Times New Roman"/>
          <w:lang w:val="en-US"/>
        </w:rPr>
        <w:t xml:space="preserve">wareness on mercury issues. </w:t>
      </w:r>
      <w:r w:rsidR="00507CA1" w:rsidRPr="00673D78">
        <w:rPr>
          <w:rFonts w:ascii="Verdana" w:hAnsi="Verdana" w:cs="Times New Roman"/>
          <w:lang w:val="en-US"/>
        </w:rPr>
        <w:t xml:space="preserve"> </w:t>
      </w:r>
    </w:p>
    <w:p w:rsidR="00C465FC" w:rsidRPr="00673D78" w:rsidRDefault="00D953DB" w:rsidP="00B45B3E">
      <w:pPr>
        <w:pStyle w:val="Prrafodelista"/>
        <w:numPr>
          <w:ilvl w:val="0"/>
          <w:numId w:val="18"/>
        </w:numPr>
        <w:spacing w:after="120" w:line="240" w:lineRule="auto"/>
        <w:ind w:left="227" w:firstLine="0"/>
        <w:contextualSpacing w:val="0"/>
        <w:rPr>
          <w:rFonts w:ascii="Verdana" w:hAnsi="Verdana" w:cs="Times New Roman"/>
          <w:lang w:val="en-US"/>
        </w:rPr>
      </w:pPr>
      <w:r w:rsidRPr="00673D78">
        <w:rPr>
          <w:rFonts w:ascii="Verdana" w:hAnsi="Verdana" w:cs="Times New Roman"/>
          <w:lang w:val="en-US"/>
        </w:rPr>
        <w:t>Cooperate and exchange information with other countries of the region.</w:t>
      </w:r>
    </w:p>
    <w:p w:rsidR="00114067" w:rsidRPr="00673D78" w:rsidRDefault="00114067" w:rsidP="00B45B3E">
      <w:pPr>
        <w:spacing w:after="120" w:line="240" w:lineRule="auto"/>
        <w:ind w:left="57"/>
        <w:rPr>
          <w:rFonts w:ascii="Verdana" w:hAnsi="Verdana" w:cs="Times New Roman"/>
          <w:lang w:val="en-US"/>
        </w:rPr>
      </w:pPr>
    </w:p>
    <w:p w:rsidR="00554036" w:rsidRPr="00673D78" w:rsidRDefault="00554036" w:rsidP="00B45B3E">
      <w:pPr>
        <w:spacing w:after="120" w:line="240" w:lineRule="auto"/>
        <w:ind w:left="57"/>
        <w:rPr>
          <w:rFonts w:ascii="Verdana" w:hAnsi="Verdana" w:cs="Times New Roman"/>
          <w:lang w:val="en-US"/>
        </w:rPr>
      </w:pPr>
    </w:p>
    <w:p w:rsidR="00554036" w:rsidRPr="00784FA2" w:rsidRDefault="00784FA2" w:rsidP="00784FA2">
      <w:pPr>
        <w:spacing w:after="120" w:line="240" w:lineRule="auto"/>
        <w:ind w:left="57"/>
        <w:jc w:val="center"/>
        <w:rPr>
          <w:rFonts w:ascii="Wingdings" w:hAnsi="Wingdings" w:cs="Times New Roman"/>
          <w:lang w:val="en-US"/>
        </w:rPr>
      </w:pPr>
      <w:r>
        <w:rPr>
          <w:rFonts w:ascii="Wingdings" w:hAnsi="Wingdings" w:cs="Times New Roman"/>
          <w:lang w:val="en-US"/>
        </w:rPr>
        <w:t></w:t>
      </w:r>
      <w:r>
        <w:rPr>
          <w:rFonts w:ascii="Wingdings" w:hAnsi="Wingdings" w:cs="Times New Roman"/>
          <w:lang w:val="en-US"/>
        </w:rPr>
        <w:t></w:t>
      </w:r>
      <w:r>
        <w:rPr>
          <w:rFonts w:ascii="Wingdings" w:hAnsi="Wingdings" w:cs="Times New Roman"/>
          <w:lang w:val="en-US"/>
        </w:rPr>
        <w:t></w:t>
      </w:r>
      <w:r>
        <w:rPr>
          <w:rFonts w:ascii="Wingdings" w:hAnsi="Wingdings" w:cs="Times New Roman"/>
          <w:lang w:val="en-US"/>
        </w:rPr>
        <w:t></w:t>
      </w:r>
    </w:p>
    <w:sectPr w:rsidR="00554036" w:rsidRPr="00784FA2" w:rsidSect="00673D78">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F8" w:rsidRDefault="005C52F8" w:rsidP="009B6C6D">
      <w:pPr>
        <w:spacing w:after="0" w:line="240" w:lineRule="auto"/>
      </w:pPr>
      <w:r>
        <w:separator/>
      </w:r>
    </w:p>
  </w:endnote>
  <w:endnote w:type="continuationSeparator" w:id="0">
    <w:p w:rsidR="005C52F8" w:rsidRDefault="005C52F8" w:rsidP="009B6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8879"/>
      <w:docPartObj>
        <w:docPartGallery w:val="Page Numbers (Bottom of Page)"/>
        <w:docPartUnique/>
      </w:docPartObj>
    </w:sdtPr>
    <w:sdtContent>
      <w:p w:rsidR="002F460D" w:rsidRDefault="006B25F8">
        <w:pPr>
          <w:pStyle w:val="Piedepgina"/>
          <w:jc w:val="right"/>
        </w:pPr>
        <w:r>
          <w:fldChar w:fldCharType="begin"/>
        </w:r>
        <w:r w:rsidR="00CF35B2">
          <w:instrText xml:space="preserve"> PAGE   \* MERGEFORMAT </w:instrText>
        </w:r>
        <w:r>
          <w:fldChar w:fldCharType="separate"/>
        </w:r>
        <w:r w:rsidR="00613E3C">
          <w:rPr>
            <w:noProof/>
          </w:rPr>
          <w:t>8</w:t>
        </w:r>
        <w:r>
          <w:rPr>
            <w:noProof/>
          </w:rPr>
          <w:fldChar w:fldCharType="end"/>
        </w:r>
      </w:p>
    </w:sdtContent>
  </w:sdt>
  <w:p w:rsidR="002F460D" w:rsidRDefault="002F46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F8" w:rsidRDefault="005C52F8" w:rsidP="009B6C6D">
      <w:pPr>
        <w:spacing w:after="0" w:line="240" w:lineRule="auto"/>
      </w:pPr>
      <w:r>
        <w:separator/>
      </w:r>
    </w:p>
  </w:footnote>
  <w:footnote w:type="continuationSeparator" w:id="0">
    <w:p w:rsidR="005C52F8" w:rsidRDefault="005C52F8" w:rsidP="009B6C6D">
      <w:pPr>
        <w:spacing w:after="0" w:line="240" w:lineRule="auto"/>
      </w:pPr>
      <w:r>
        <w:continuationSeparator/>
      </w:r>
    </w:p>
  </w:footnote>
  <w:footnote w:id="1">
    <w:p w:rsidR="002F460D" w:rsidRPr="002F460D" w:rsidRDefault="002F460D">
      <w:pPr>
        <w:pStyle w:val="Textonotapie"/>
        <w:rPr>
          <w:sz w:val="18"/>
          <w:lang w:val="en-US"/>
        </w:rPr>
      </w:pPr>
      <w:r w:rsidRPr="002F460D">
        <w:rPr>
          <w:rStyle w:val="Refdenotaalpie"/>
          <w:sz w:val="18"/>
        </w:rPr>
        <w:footnoteRef/>
      </w:r>
      <w:r w:rsidRPr="002F460D">
        <w:rPr>
          <w:sz w:val="18"/>
          <w:lang w:val="en-US"/>
        </w:rPr>
        <w:t xml:space="preserve"> </w:t>
      </w:r>
      <w:proofErr w:type="gramStart"/>
      <w:r w:rsidR="00503553">
        <w:rPr>
          <w:sz w:val="18"/>
          <w:lang w:val="en-US"/>
        </w:rPr>
        <w:t>As of February 14, 2014.</w:t>
      </w:r>
      <w:proofErr w:type="gramEnd"/>
      <w:r w:rsidR="00503553">
        <w:rPr>
          <w:sz w:val="18"/>
          <w:lang w:val="en-US"/>
        </w:rPr>
        <w:t xml:space="preserve"> </w:t>
      </w:r>
      <w:r w:rsidRPr="002F460D">
        <w:rPr>
          <w:sz w:val="18"/>
          <w:lang w:val="en-US"/>
        </w:rPr>
        <w:t xml:space="preserve">Official website of the Minamata Convention on Mercury: </w:t>
      </w:r>
      <w:hyperlink r:id="rId1" w:history="1">
        <w:r w:rsidRPr="002F460D">
          <w:rPr>
            <w:rStyle w:val="Hipervnculo"/>
            <w:sz w:val="18"/>
            <w:lang w:val="en-US"/>
          </w:rPr>
          <w:t>www.mercuryconvention.org</w:t>
        </w:r>
      </w:hyperlink>
      <w:r w:rsidRPr="002F460D">
        <w:rPr>
          <w:sz w:val="18"/>
          <w:lang w:val="en-US"/>
        </w:rPr>
        <w:t xml:space="preserve"> </w:t>
      </w:r>
    </w:p>
  </w:footnote>
  <w:footnote w:id="2">
    <w:p w:rsidR="002F460D" w:rsidRPr="00553D15" w:rsidRDefault="002F460D">
      <w:pPr>
        <w:pStyle w:val="Textonotapie"/>
        <w:rPr>
          <w:sz w:val="18"/>
          <w:lang w:val="en-US"/>
        </w:rPr>
      </w:pPr>
      <w:r w:rsidRPr="00553D15">
        <w:rPr>
          <w:rStyle w:val="Refdenotaalpie"/>
          <w:sz w:val="18"/>
        </w:rPr>
        <w:footnoteRef/>
      </w:r>
      <w:r w:rsidRPr="00553D15">
        <w:rPr>
          <w:sz w:val="18"/>
          <w:lang w:val="en-US"/>
        </w:rPr>
        <w:t xml:space="preserve"> According to data included in the UNEP Global Mercury Assessment (2013). </w:t>
      </w:r>
    </w:p>
  </w:footnote>
  <w:footnote w:id="3">
    <w:p w:rsidR="002F460D" w:rsidRPr="00F24F46" w:rsidRDefault="002F460D">
      <w:pPr>
        <w:pStyle w:val="Textonotapie"/>
        <w:rPr>
          <w:sz w:val="18"/>
          <w:lang w:val="en-US"/>
        </w:rPr>
      </w:pPr>
      <w:r w:rsidRPr="00F24F46">
        <w:rPr>
          <w:rStyle w:val="Refdenotaalpie"/>
          <w:sz w:val="18"/>
        </w:rPr>
        <w:footnoteRef/>
      </w:r>
      <w:r w:rsidRPr="00F24F46">
        <w:rPr>
          <w:sz w:val="18"/>
          <w:lang w:val="en-US"/>
        </w:rPr>
        <w:t xml:space="preserve"> Estimation based on the information presented by the countries that participated during the Second Global Forum on Artisanal and Small-Scale Gold Mining (3-5 September</w:t>
      </w:r>
      <w:r w:rsidR="00C64F11">
        <w:rPr>
          <w:sz w:val="18"/>
          <w:lang w:val="en-US"/>
        </w:rPr>
        <w:t xml:space="preserve"> 2013</w:t>
      </w:r>
      <w:r w:rsidRPr="00F24F46">
        <w:rPr>
          <w:sz w:val="18"/>
          <w:lang w:val="en-US"/>
        </w:rPr>
        <w:t xml:space="preserve">, Lima, Peru).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98" w:rsidRPr="00784FA2" w:rsidRDefault="003155C2" w:rsidP="003155C2">
    <w:pPr>
      <w:pStyle w:val="Encabezado"/>
      <w:jc w:val="right"/>
    </w:pPr>
    <w:r w:rsidRPr="00784FA2">
      <w:rPr>
        <w:rFonts w:ascii="Verdana" w:hAnsi="Verdana"/>
        <w:b/>
        <w:bCs/>
        <w:sz w:val="18"/>
        <w:lang w:val="en-US"/>
      </w:rPr>
      <w:t>UNEP/LAC-IG.XIX/3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jc w:val="center"/>
      <w:tblInd w:w="-972" w:type="dxa"/>
      <w:tblLayout w:type="fixed"/>
      <w:tblLook w:val="0000"/>
    </w:tblPr>
    <w:tblGrid>
      <w:gridCol w:w="2370"/>
      <w:gridCol w:w="4290"/>
      <w:gridCol w:w="4020"/>
    </w:tblGrid>
    <w:tr w:rsidR="00673D78" w:rsidRPr="00704791" w:rsidTr="00C445C9">
      <w:trPr>
        <w:cantSplit/>
        <w:jc w:val="center"/>
      </w:trPr>
      <w:tc>
        <w:tcPr>
          <w:tcW w:w="2370" w:type="dxa"/>
          <w:tcBorders>
            <w:bottom w:val="thinThickSmallGap" w:sz="24" w:space="0" w:color="auto"/>
          </w:tcBorders>
        </w:tcPr>
        <w:p w:rsidR="00673D78" w:rsidRDefault="00673D78" w:rsidP="00C445C9">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188595</wp:posOffset>
                </wp:positionH>
                <wp:positionV relativeFrom="paragraph">
                  <wp:posOffset>-106680</wp:posOffset>
                </wp:positionV>
                <wp:extent cx="5671820" cy="67627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71820" cy="676275"/>
                        </a:xfrm>
                        <a:prstGeom prst="rect">
                          <a:avLst/>
                        </a:prstGeom>
                        <a:noFill/>
                        <a:ln w="9525">
                          <a:noFill/>
                          <a:miter lim="800000"/>
                          <a:headEnd/>
                          <a:tailEnd/>
                        </a:ln>
                      </pic:spPr>
                    </pic:pic>
                  </a:graphicData>
                </a:graphic>
              </wp:anchor>
            </w:drawing>
          </w:r>
        </w:p>
        <w:p w:rsidR="00673D78" w:rsidRDefault="00673D78" w:rsidP="00C445C9">
          <w:pPr>
            <w:pStyle w:val="Encabezado"/>
          </w:pPr>
        </w:p>
        <w:p w:rsidR="00673D78" w:rsidRDefault="00673D78" w:rsidP="00C445C9">
          <w:pPr>
            <w:pStyle w:val="Encabezado"/>
          </w:pPr>
        </w:p>
        <w:p w:rsidR="00673D78" w:rsidRPr="00857980" w:rsidRDefault="00673D78" w:rsidP="00C445C9">
          <w:pPr>
            <w:pStyle w:val="Encabezado"/>
          </w:pPr>
        </w:p>
      </w:tc>
      <w:tc>
        <w:tcPr>
          <w:tcW w:w="8310" w:type="dxa"/>
          <w:gridSpan w:val="2"/>
          <w:tcBorders>
            <w:bottom w:val="thinThickSmallGap" w:sz="24" w:space="0" w:color="auto"/>
          </w:tcBorders>
        </w:tcPr>
        <w:p w:rsidR="00673D78" w:rsidRPr="00704791" w:rsidRDefault="00673D78" w:rsidP="00C445C9">
          <w:pPr>
            <w:pStyle w:val="Encabezado"/>
            <w:spacing w:after="120"/>
            <w:jc w:val="center"/>
          </w:pPr>
          <w:r w:rsidRPr="00704791">
            <w:rPr>
              <w:noProof/>
              <w:lang w:val="es-MX" w:eastAsia="es-MX"/>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-2736850</wp:posOffset>
                </wp:positionV>
                <wp:extent cx="5671820" cy="676275"/>
                <wp:effectExtent l="19050" t="0" r="5080" b="0"/>
                <wp:wrapNone/>
                <wp:docPr id="2"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2" cstate="print"/>
                        <a:srcRect/>
                        <a:stretch>
                          <a:fillRect/>
                        </a:stretch>
                      </pic:blipFill>
                      <pic:spPr bwMode="auto">
                        <a:xfrm>
                          <a:off x="0" y="0"/>
                          <a:ext cx="5671820" cy="681355"/>
                        </a:xfrm>
                        <a:prstGeom prst="rect">
                          <a:avLst/>
                        </a:prstGeom>
                        <a:noFill/>
                        <a:ln w="9525">
                          <a:noFill/>
                          <a:miter lim="800000"/>
                          <a:headEnd/>
                          <a:tailEnd/>
                        </a:ln>
                      </pic:spPr>
                    </pic:pic>
                  </a:graphicData>
                </a:graphic>
              </wp:anchor>
            </w:drawing>
          </w:r>
        </w:p>
      </w:tc>
    </w:tr>
    <w:tr w:rsidR="00673D78" w:rsidRPr="00704791" w:rsidTr="00C445C9">
      <w:trPr>
        <w:jc w:val="center"/>
      </w:trPr>
      <w:tc>
        <w:tcPr>
          <w:tcW w:w="6660" w:type="dxa"/>
          <w:gridSpan w:val="2"/>
        </w:tcPr>
        <w:p w:rsidR="00673D78" w:rsidRPr="00704791" w:rsidRDefault="00673D78" w:rsidP="00C445C9">
          <w:pPr>
            <w:spacing w:line="120" w:lineRule="exact"/>
            <w:rPr>
              <w:b/>
            </w:rPr>
          </w:pPr>
        </w:p>
      </w:tc>
      <w:tc>
        <w:tcPr>
          <w:tcW w:w="4020" w:type="dxa"/>
        </w:tcPr>
        <w:p w:rsidR="00673D78" w:rsidRPr="00704791" w:rsidRDefault="00673D78" w:rsidP="00C445C9">
          <w:pPr>
            <w:spacing w:line="120" w:lineRule="exact"/>
            <w:rPr>
              <w:b/>
              <w:sz w:val="18"/>
            </w:rPr>
          </w:pPr>
        </w:p>
      </w:tc>
    </w:tr>
    <w:tr w:rsidR="00673D78" w:rsidRPr="00393FAF" w:rsidTr="00C445C9">
      <w:trPr>
        <w:jc w:val="center"/>
      </w:trPr>
      <w:tc>
        <w:tcPr>
          <w:tcW w:w="6660" w:type="dxa"/>
          <w:gridSpan w:val="2"/>
        </w:tcPr>
        <w:p w:rsidR="00673D78" w:rsidRPr="00393FAF" w:rsidRDefault="00673D78" w:rsidP="00C445C9">
          <w:pPr>
            <w:rPr>
              <w:rFonts w:ascii="Verdana" w:hAnsi="Verdana"/>
              <w:b/>
              <w:sz w:val="20"/>
              <w:lang w:val="en-US"/>
            </w:rPr>
          </w:pPr>
          <w:r w:rsidRPr="00393FAF">
            <w:rPr>
              <w:rFonts w:ascii="Verdana" w:hAnsi="Verdana"/>
              <w:b/>
              <w:sz w:val="20"/>
              <w:lang w:val="en-US"/>
            </w:rPr>
            <w:t>Nineteenth Meeting of the Forum of Ministers of Environment for Latin America and the Caribbean</w:t>
          </w:r>
        </w:p>
        <w:p w:rsidR="00673D78" w:rsidRPr="00784FA2" w:rsidRDefault="00673D78" w:rsidP="00C445C9">
          <w:pPr>
            <w:rPr>
              <w:rFonts w:ascii="Verdana" w:hAnsi="Verdana"/>
              <w:b/>
              <w:sz w:val="20"/>
              <w:lang w:val="es-MX"/>
            </w:rPr>
          </w:pPr>
          <w:r w:rsidRPr="00784FA2">
            <w:rPr>
              <w:rFonts w:ascii="Verdana" w:hAnsi="Verdana"/>
              <w:b/>
              <w:sz w:val="20"/>
              <w:lang w:val="es-MX"/>
            </w:rPr>
            <w:t xml:space="preserve">Los Cabos, </w:t>
          </w:r>
          <w:proofErr w:type="spellStart"/>
          <w:r w:rsidRPr="00784FA2">
            <w:rPr>
              <w:rFonts w:ascii="Verdana" w:hAnsi="Verdana"/>
              <w:b/>
              <w:sz w:val="20"/>
              <w:lang w:val="es-MX"/>
            </w:rPr>
            <w:t>Mexico</w:t>
          </w:r>
          <w:proofErr w:type="spellEnd"/>
          <w:r w:rsidRPr="00784FA2">
            <w:rPr>
              <w:rFonts w:ascii="Verdana" w:hAnsi="Verdana"/>
              <w:b/>
              <w:sz w:val="20"/>
              <w:lang w:val="es-MX"/>
            </w:rPr>
            <w:br/>
            <w:t>1</w:t>
          </w:r>
          <w:r w:rsidR="00784FA2" w:rsidRPr="00784FA2">
            <w:rPr>
              <w:rFonts w:ascii="Verdana" w:hAnsi="Verdana"/>
              <w:b/>
              <w:sz w:val="20"/>
              <w:lang w:val="es-MX"/>
            </w:rPr>
            <w:t>2</w:t>
          </w:r>
          <w:r w:rsidRPr="00784FA2">
            <w:rPr>
              <w:rFonts w:ascii="Verdana" w:hAnsi="Verdana"/>
              <w:b/>
              <w:sz w:val="20"/>
              <w:lang w:val="es-MX"/>
            </w:rPr>
            <w:t>-1</w:t>
          </w:r>
          <w:r w:rsidR="00784FA2" w:rsidRPr="00784FA2">
            <w:rPr>
              <w:rFonts w:ascii="Verdana" w:hAnsi="Verdana"/>
              <w:b/>
              <w:sz w:val="20"/>
              <w:lang w:val="es-MX"/>
            </w:rPr>
            <w:t>4</w:t>
          </w:r>
          <w:r w:rsidRPr="00784FA2">
            <w:rPr>
              <w:rFonts w:ascii="Verdana" w:hAnsi="Verdana"/>
              <w:b/>
              <w:sz w:val="20"/>
              <w:lang w:val="es-MX"/>
            </w:rPr>
            <w:t xml:space="preserve"> </w:t>
          </w:r>
          <w:proofErr w:type="spellStart"/>
          <w:r w:rsidRPr="00784FA2">
            <w:rPr>
              <w:rFonts w:ascii="Verdana" w:hAnsi="Verdana"/>
              <w:b/>
              <w:sz w:val="20"/>
              <w:lang w:val="es-MX"/>
            </w:rPr>
            <w:t>March</w:t>
          </w:r>
          <w:proofErr w:type="spellEnd"/>
          <w:r w:rsidRPr="00784FA2">
            <w:rPr>
              <w:rFonts w:ascii="Verdana" w:hAnsi="Verdana"/>
              <w:b/>
              <w:sz w:val="20"/>
              <w:lang w:val="es-MX"/>
            </w:rPr>
            <w:t xml:space="preserve"> 2014</w:t>
          </w:r>
        </w:p>
        <w:p w:rsidR="00673D78" w:rsidRPr="00784FA2" w:rsidRDefault="00784FA2" w:rsidP="00784FA2">
          <w:pPr>
            <w:ind w:left="708"/>
            <w:rPr>
              <w:rFonts w:ascii="Verdana" w:hAnsi="Verdana"/>
              <w:b/>
              <w:lang w:val="es-MX"/>
            </w:rPr>
          </w:pPr>
          <w:r w:rsidRPr="00784FA2">
            <w:rPr>
              <w:rFonts w:ascii="Verdana" w:hAnsi="Verdana"/>
              <w:sz w:val="20"/>
              <w:lang w:val="es-MX"/>
            </w:rPr>
            <w:t>B</w:t>
          </w:r>
          <w:r w:rsidR="00673D78" w:rsidRPr="00784FA2">
            <w:rPr>
              <w:rFonts w:ascii="Verdana" w:hAnsi="Verdana"/>
              <w:sz w:val="20"/>
              <w:lang w:val="es-MX"/>
            </w:rPr>
            <w:t xml:space="preserve">. </w:t>
          </w:r>
          <w:r w:rsidRPr="00784FA2">
            <w:rPr>
              <w:rFonts w:ascii="Verdana" w:hAnsi="Verdana"/>
              <w:sz w:val="20"/>
              <w:lang w:val="es-MX"/>
            </w:rPr>
            <w:t>MINISTERIAL SEGMENT</w:t>
          </w:r>
          <w:r w:rsidR="00673D78" w:rsidRPr="00784FA2">
            <w:rPr>
              <w:rFonts w:ascii="Verdana" w:hAnsi="Verdana"/>
              <w:lang w:val="es-MX"/>
            </w:rPr>
            <w:br/>
          </w:r>
        </w:p>
      </w:tc>
      <w:tc>
        <w:tcPr>
          <w:tcW w:w="4020" w:type="dxa"/>
        </w:tcPr>
        <w:p w:rsidR="008C47E1" w:rsidRDefault="00673D78" w:rsidP="00784FA2">
          <w:pPr>
            <w:rPr>
              <w:rFonts w:ascii="Verdana" w:hAnsi="Verdana"/>
              <w:b/>
              <w:bCs/>
              <w:sz w:val="18"/>
              <w:lang w:val="en-US"/>
            </w:rPr>
          </w:pPr>
          <w:r w:rsidRPr="00393FAF">
            <w:rPr>
              <w:rFonts w:ascii="Verdana" w:hAnsi="Verdana"/>
              <w:b/>
              <w:bCs/>
              <w:sz w:val="18"/>
              <w:lang w:val="en-US"/>
            </w:rPr>
            <w:t>Distribution:</w:t>
          </w:r>
          <w:r w:rsidRPr="00393FAF">
            <w:rPr>
              <w:rFonts w:ascii="Verdana" w:hAnsi="Verdana"/>
              <w:b/>
              <w:bCs/>
              <w:sz w:val="18"/>
              <w:lang w:val="en-US"/>
            </w:rPr>
            <w:br/>
          </w:r>
          <w:r w:rsidRPr="00393FAF">
            <w:rPr>
              <w:rFonts w:ascii="Verdana" w:hAnsi="Verdana"/>
              <w:sz w:val="18"/>
              <w:lang w:val="en-US"/>
            </w:rPr>
            <w:t>Limited</w:t>
          </w:r>
          <w:r w:rsidRPr="00393FAF">
            <w:rPr>
              <w:rFonts w:ascii="Verdana" w:hAnsi="Verdana"/>
              <w:sz w:val="18"/>
              <w:lang w:val="en-US"/>
            </w:rPr>
            <w:br/>
          </w:r>
          <w:r w:rsidR="00784FA2" w:rsidRPr="00784FA2">
            <w:rPr>
              <w:rFonts w:ascii="Verdana" w:hAnsi="Verdana"/>
              <w:b/>
              <w:bCs/>
              <w:sz w:val="18"/>
              <w:lang w:val="en-US"/>
            </w:rPr>
            <w:t>UNEP/LAC-IG.XIX/3</w:t>
          </w:r>
        </w:p>
        <w:p w:rsidR="00673D78" w:rsidRPr="00393FAF" w:rsidRDefault="008C47E1" w:rsidP="00613E3C">
          <w:pPr>
            <w:rPr>
              <w:rFonts w:ascii="Verdana" w:hAnsi="Verdana"/>
              <w:sz w:val="18"/>
              <w:lang w:val="en-US"/>
            </w:rPr>
          </w:pPr>
          <w:r w:rsidRPr="008C47E1">
            <w:rPr>
              <w:rFonts w:ascii="Verdana" w:hAnsi="Verdana"/>
              <w:bCs/>
              <w:sz w:val="18"/>
              <w:lang w:val="en-US"/>
            </w:rPr>
            <w:t xml:space="preserve">Monday 24 </w:t>
          </w:r>
          <w:r w:rsidR="00613E3C">
            <w:rPr>
              <w:rFonts w:ascii="Verdana" w:hAnsi="Verdana"/>
              <w:bCs/>
              <w:sz w:val="18"/>
              <w:lang w:val="en-US"/>
            </w:rPr>
            <w:t>February</w:t>
          </w:r>
          <w:r w:rsidRPr="008C47E1">
            <w:rPr>
              <w:rFonts w:ascii="Verdana" w:hAnsi="Verdana"/>
              <w:bCs/>
              <w:sz w:val="18"/>
              <w:lang w:val="en-US"/>
            </w:rPr>
            <w:t xml:space="preserve"> 2014</w:t>
          </w:r>
          <w:r w:rsidR="00673D78" w:rsidRPr="00393FAF">
            <w:rPr>
              <w:rFonts w:ascii="Verdana" w:hAnsi="Verdana"/>
              <w:b/>
              <w:bCs/>
              <w:sz w:val="18"/>
              <w:lang w:val="en-US"/>
            </w:rPr>
            <w:br/>
            <w:t>Original:</w:t>
          </w:r>
          <w:r w:rsidR="00673D78" w:rsidRPr="00393FAF">
            <w:rPr>
              <w:rFonts w:ascii="Verdana" w:hAnsi="Verdana"/>
              <w:sz w:val="18"/>
              <w:lang w:val="en-US"/>
            </w:rPr>
            <w:t xml:space="preserve"> Spanish</w:t>
          </w:r>
        </w:p>
      </w:tc>
    </w:tr>
  </w:tbl>
  <w:p w:rsidR="00673D78" w:rsidRPr="00673D78" w:rsidRDefault="00673D78">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E3B"/>
    <w:multiLevelType w:val="hybridMultilevel"/>
    <w:tmpl w:val="93DA97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
    <w:nsid w:val="06A5152B"/>
    <w:multiLevelType w:val="hybridMultilevel"/>
    <w:tmpl w:val="31DC4D24"/>
    <w:lvl w:ilvl="0" w:tplc="180A000F">
      <w:start w:val="1"/>
      <w:numFmt w:val="decimal"/>
      <w:lvlText w:val="%1."/>
      <w:lvlJc w:val="lef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nsid w:val="0BB83DB2"/>
    <w:multiLevelType w:val="hybridMultilevel"/>
    <w:tmpl w:val="2DB83F00"/>
    <w:lvl w:ilvl="0" w:tplc="180A0013">
      <w:start w:val="1"/>
      <w:numFmt w:val="upperRoman"/>
      <w:lvlText w:val="%1."/>
      <w:lvlJc w:val="righ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
    <w:nsid w:val="1EFC5A65"/>
    <w:multiLevelType w:val="hybridMultilevel"/>
    <w:tmpl w:val="3C3E8408"/>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AD0A04"/>
    <w:multiLevelType w:val="hybridMultilevel"/>
    <w:tmpl w:val="DE68CA76"/>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5">
    <w:nsid w:val="2546305C"/>
    <w:multiLevelType w:val="hybridMultilevel"/>
    <w:tmpl w:val="CC8A5EA6"/>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933451"/>
    <w:multiLevelType w:val="hybridMultilevel"/>
    <w:tmpl w:val="7248D72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
    <w:nsid w:val="29F01180"/>
    <w:multiLevelType w:val="hybridMultilevel"/>
    <w:tmpl w:val="5162A42C"/>
    <w:lvl w:ilvl="0" w:tplc="AD16D4CC">
      <w:start w:val="1"/>
      <w:numFmt w:val="lowerLetter"/>
      <w:suff w:val="space"/>
      <w:lvlText w:val="%1."/>
      <w:lvlJc w:val="left"/>
      <w:pPr>
        <w:ind w:left="502" w:hanging="360"/>
      </w:pPr>
      <w:rPr>
        <w:rFonts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8">
    <w:nsid w:val="30252EB9"/>
    <w:multiLevelType w:val="hybridMultilevel"/>
    <w:tmpl w:val="0986A796"/>
    <w:lvl w:ilvl="0" w:tplc="B1EE8D58">
      <w:start w:val="1"/>
      <w:numFmt w:val="lowerLetter"/>
      <w:suff w:val="space"/>
      <w:lvlText w:val="%1."/>
      <w:lvlJc w:val="left"/>
      <w:pPr>
        <w:ind w:left="786" w:hanging="360"/>
      </w:pPr>
      <w:rPr>
        <w:rFonts w:hint="default"/>
      </w:rPr>
    </w:lvl>
    <w:lvl w:ilvl="1" w:tplc="180A0003">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9">
    <w:nsid w:val="408D20C0"/>
    <w:multiLevelType w:val="hybridMultilevel"/>
    <w:tmpl w:val="3CA04A32"/>
    <w:lvl w:ilvl="0" w:tplc="76C62836">
      <w:start w:val="1"/>
      <w:numFmt w:val="lowerLetter"/>
      <w:suff w:val="space"/>
      <w:lvlText w:val="%1."/>
      <w:lvlJc w:val="left"/>
      <w:pPr>
        <w:ind w:left="1211" w:hanging="360"/>
      </w:pPr>
      <w:rPr>
        <w:rFonts w:hint="default"/>
      </w:rPr>
    </w:lvl>
    <w:lvl w:ilvl="1" w:tplc="4B4AAD6A">
      <w:start w:val="1"/>
      <w:numFmt w:val="bullet"/>
      <w:suff w:val="space"/>
      <w:lvlText w:val="o"/>
      <w:lvlJc w:val="left"/>
      <w:pPr>
        <w:ind w:left="1636" w:hanging="360"/>
      </w:pPr>
      <w:rPr>
        <w:rFonts w:ascii="Courier New" w:hAnsi="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10">
    <w:nsid w:val="451D1EA7"/>
    <w:multiLevelType w:val="hybridMultilevel"/>
    <w:tmpl w:val="D46477B4"/>
    <w:lvl w:ilvl="0" w:tplc="E17015C8">
      <w:numFmt w:val="bullet"/>
      <w:lvlText w:val="-"/>
      <w:lvlJc w:val="left"/>
      <w:pPr>
        <w:ind w:left="360" w:hanging="360"/>
      </w:pPr>
      <w:rPr>
        <w:rFonts w:ascii="Times New Roman" w:eastAsiaTheme="minorHAnsi" w:hAnsi="Times New Roman" w:cs="Times New Roman"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1">
    <w:nsid w:val="464763A9"/>
    <w:multiLevelType w:val="hybridMultilevel"/>
    <w:tmpl w:val="2D7EB430"/>
    <w:lvl w:ilvl="0" w:tplc="1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193FA1"/>
    <w:multiLevelType w:val="hybridMultilevel"/>
    <w:tmpl w:val="510C937A"/>
    <w:lvl w:ilvl="0" w:tplc="180A0013">
      <w:start w:val="1"/>
      <w:numFmt w:val="upperRoman"/>
      <w:lvlText w:val="%1."/>
      <w:lvlJc w:val="right"/>
      <w:pPr>
        <w:ind w:left="360" w:hanging="360"/>
      </w:pPr>
      <w:rPr>
        <w:rFonts w:hint="default"/>
      </w:r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nsid w:val="50592DD1"/>
    <w:multiLevelType w:val="hybridMultilevel"/>
    <w:tmpl w:val="D21AB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A166EB"/>
    <w:multiLevelType w:val="hybridMultilevel"/>
    <w:tmpl w:val="71AC4E70"/>
    <w:lvl w:ilvl="0" w:tplc="722C8EC8">
      <w:start w:val="1"/>
      <w:numFmt w:val="decimal"/>
      <w:suff w:val="space"/>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00D2E55"/>
    <w:multiLevelType w:val="hybridMultilevel"/>
    <w:tmpl w:val="7F16D396"/>
    <w:lvl w:ilvl="0" w:tplc="180A0019">
      <w:start w:val="1"/>
      <w:numFmt w:val="lowerLetter"/>
      <w:lvlText w:val="%1."/>
      <w:lvlJc w:val="left"/>
      <w:pPr>
        <w:ind w:left="360" w:hanging="360"/>
      </w:pPr>
      <w:rPr>
        <w:rFonts w:hint="default"/>
      </w:rPr>
    </w:lvl>
    <w:lvl w:ilvl="1" w:tplc="1A2EDE68">
      <w:start w:val="1"/>
      <w:numFmt w:val="bullet"/>
      <w:suff w:val="space"/>
      <w:lvlText w:val="o"/>
      <w:lvlJc w:val="left"/>
      <w:pPr>
        <w:ind w:left="1211"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6">
    <w:nsid w:val="606A0484"/>
    <w:multiLevelType w:val="hybridMultilevel"/>
    <w:tmpl w:val="D714CA2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7">
    <w:nsid w:val="67336817"/>
    <w:multiLevelType w:val="hybridMultilevel"/>
    <w:tmpl w:val="923C909C"/>
    <w:lvl w:ilvl="0" w:tplc="180A0019">
      <w:start w:val="1"/>
      <w:numFmt w:val="lowerLetter"/>
      <w:lvlText w:val="%1."/>
      <w:lvlJc w:val="left"/>
      <w:pPr>
        <w:ind w:left="360" w:hanging="360"/>
      </w:pPr>
      <w:rPr>
        <w:rFonts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8">
    <w:nsid w:val="6B893910"/>
    <w:multiLevelType w:val="hybridMultilevel"/>
    <w:tmpl w:val="AA7A87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0"/>
  </w:num>
  <w:num w:numId="5">
    <w:abstractNumId w:val="1"/>
  </w:num>
  <w:num w:numId="6">
    <w:abstractNumId w:val="6"/>
  </w:num>
  <w:num w:numId="7">
    <w:abstractNumId w:val="9"/>
  </w:num>
  <w:num w:numId="8">
    <w:abstractNumId w:val="13"/>
  </w:num>
  <w:num w:numId="9">
    <w:abstractNumId w:val="16"/>
  </w:num>
  <w:num w:numId="10">
    <w:abstractNumId w:val="17"/>
  </w:num>
  <w:num w:numId="11">
    <w:abstractNumId w:val="4"/>
  </w:num>
  <w:num w:numId="12">
    <w:abstractNumId w:val="18"/>
  </w:num>
  <w:num w:numId="13">
    <w:abstractNumId w:val="14"/>
  </w:num>
  <w:num w:numId="14">
    <w:abstractNumId w:val="11"/>
  </w:num>
  <w:num w:numId="15">
    <w:abstractNumId w:val="7"/>
  </w:num>
  <w:num w:numId="16">
    <w:abstractNumId w:val="3"/>
  </w:num>
  <w:num w:numId="17">
    <w:abstractNumId w:val="5"/>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4E7E85"/>
    <w:rsid w:val="000456A8"/>
    <w:rsid w:val="00052832"/>
    <w:rsid w:val="00067F7F"/>
    <w:rsid w:val="0007280F"/>
    <w:rsid w:val="00073FC7"/>
    <w:rsid w:val="00085AB6"/>
    <w:rsid w:val="000A2562"/>
    <w:rsid w:val="000A3163"/>
    <w:rsid w:val="000A380D"/>
    <w:rsid w:val="000A5DAF"/>
    <w:rsid w:val="000B3A0C"/>
    <w:rsid w:val="000C41D4"/>
    <w:rsid w:val="000F4E36"/>
    <w:rsid w:val="001001E2"/>
    <w:rsid w:val="001026DB"/>
    <w:rsid w:val="00114067"/>
    <w:rsid w:val="00122C64"/>
    <w:rsid w:val="00124CC8"/>
    <w:rsid w:val="00127E1B"/>
    <w:rsid w:val="001352F7"/>
    <w:rsid w:val="0013542C"/>
    <w:rsid w:val="00147909"/>
    <w:rsid w:val="00155D0E"/>
    <w:rsid w:val="001717AF"/>
    <w:rsid w:val="001D46D1"/>
    <w:rsid w:val="001F10A6"/>
    <w:rsid w:val="0021581E"/>
    <w:rsid w:val="0023093A"/>
    <w:rsid w:val="00243F23"/>
    <w:rsid w:val="002537A6"/>
    <w:rsid w:val="00261916"/>
    <w:rsid w:val="00267703"/>
    <w:rsid w:val="00267CCD"/>
    <w:rsid w:val="00273518"/>
    <w:rsid w:val="0027582B"/>
    <w:rsid w:val="002955B4"/>
    <w:rsid w:val="002D5B81"/>
    <w:rsid w:val="002F460D"/>
    <w:rsid w:val="002F673A"/>
    <w:rsid w:val="00300255"/>
    <w:rsid w:val="003056B9"/>
    <w:rsid w:val="003155C2"/>
    <w:rsid w:val="00337F6B"/>
    <w:rsid w:val="003923A8"/>
    <w:rsid w:val="00392481"/>
    <w:rsid w:val="00397DF6"/>
    <w:rsid w:val="003A066D"/>
    <w:rsid w:val="003B03D6"/>
    <w:rsid w:val="003B686A"/>
    <w:rsid w:val="003C053A"/>
    <w:rsid w:val="003F34BE"/>
    <w:rsid w:val="003F7280"/>
    <w:rsid w:val="004347FA"/>
    <w:rsid w:val="00446621"/>
    <w:rsid w:val="00454244"/>
    <w:rsid w:val="00482E3A"/>
    <w:rsid w:val="004A23E6"/>
    <w:rsid w:val="004B795C"/>
    <w:rsid w:val="004D4585"/>
    <w:rsid w:val="004E3F48"/>
    <w:rsid w:val="004E7E85"/>
    <w:rsid w:val="004F65A0"/>
    <w:rsid w:val="004F6FDF"/>
    <w:rsid w:val="00503553"/>
    <w:rsid w:val="0050400E"/>
    <w:rsid w:val="00507CA1"/>
    <w:rsid w:val="005153AB"/>
    <w:rsid w:val="00532068"/>
    <w:rsid w:val="00553D15"/>
    <w:rsid w:val="00553FFC"/>
    <w:rsid w:val="00554036"/>
    <w:rsid w:val="00586278"/>
    <w:rsid w:val="00586864"/>
    <w:rsid w:val="00590AA8"/>
    <w:rsid w:val="005A3C60"/>
    <w:rsid w:val="005A557F"/>
    <w:rsid w:val="005B6612"/>
    <w:rsid w:val="005C52F8"/>
    <w:rsid w:val="005D1B02"/>
    <w:rsid w:val="005E2704"/>
    <w:rsid w:val="005E38B1"/>
    <w:rsid w:val="005E638D"/>
    <w:rsid w:val="005F60C6"/>
    <w:rsid w:val="006125E8"/>
    <w:rsid w:val="00613E3C"/>
    <w:rsid w:val="00616B45"/>
    <w:rsid w:val="006223C9"/>
    <w:rsid w:val="006236D7"/>
    <w:rsid w:val="006326B1"/>
    <w:rsid w:val="00632BA0"/>
    <w:rsid w:val="00643254"/>
    <w:rsid w:val="00661EF2"/>
    <w:rsid w:val="006733EE"/>
    <w:rsid w:val="00673D78"/>
    <w:rsid w:val="006B25F8"/>
    <w:rsid w:val="006B7B69"/>
    <w:rsid w:val="006C5602"/>
    <w:rsid w:val="006C57E9"/>
    <w:rsid w:val="006F2A2C"/>
    <w:rsid w:val="006F4932"/>
    <w:rsid w:val="006F4D42"/>
    <w:rsid w:val="006F7924"/>
    <w:rsid w:val="00705FFE"/>
    <w:rsid w:val="007253D0"/>
    <w:rsid w:val="00751605"/>
    <w:rsid w:val="007566C2"/>
    <w:rsid w:val="00757D45"/>
    <w:rsid w:val="0076495E"/>
    <w:rsid w:val="00767390"/>
    <w:rsid w:val="00784FA2"/>
    <w:rsid w:val="007958FE"/>
    <w:rsid w:val="007965C8"/>
    <w:rsid w:val="007967DE"/>
    <w:rsid w:val="00797CF8"/>
    <w:rsid w:val="007A2E84"/>
    <w:rsid w:val="007A44C7"/>
    <w:rsid w:val="007A5BBF"/>
    <w:rsid w:val="007C5BF5"/>
    <w:rsid w:val="007D4D81"/>
    <w:rsid w:val="007E47D9"/>
    <w:rsid w:val="008369D2"/>
    <w:rsid w:val="00841A80"/>
    <w:rsid w:val="00842727"/>
    <w:rsid w:val="008442CA"/>
    <w:rsid w:val="00845B7F"/>
    <w:rsid w:val="008732E2"/>
    <w:rsid w:val="008B63C3"/>
    <w:rsid w:val="008C081F"/>
    <w:rsid w:val="008C3A13"/>
    <w:rsid w:val="008C47E1"/>
    <w:rsid w:val="008D10DD"/>
    <w:rsid w:val="008F57F9"/>
    <w:rsid w:val="00903EBC"/>
    <w:rsid w:val="009104CF"/>
    <w:rsid w:val="00941595"/>
    <w:rsid w:val="009477A0"/>
    <w:rsid w:val="009540BC"/>
    <w:rsid w:val="00956184"/>
    <w:rsid w:val="009837F0"/>
    <w:rsid w:val="009A5B59"/>
    <w:rsid w:val="009B6C6D"/>
    <w:rsid w:val="009F3FC2"/>
    <w:rsid w:val="009F6EF0"/>
    <w:rsid w:val="00A30C87"/>
    <w:rsid w:val="00A373E8"/>
    <w:rsid w:val="00A57693"/>
    <w:rsid w:val="00A623A5"/>
    <w:rsid w:val="00A6394C"/>
    <w:rsid w:val="00A802D0"/>
    <w:rsid w:val="00A83DB0"/>
    <w:rsid w:val="00A91E1E"/>
    <w:rsid w:val="00AA4C86"/>
    <w:rsid w:val="00AD69FA"/>
    <w:rsid w:val="00B45B3E"/>
    <w:rsid w:val="00B72C72"/>
    <w:rsid w:val="00BC6C6A"/>
    <w:rsid w:val="00BC7FF1"/>
    <w:rsid w:val="00C0486B"/>
    <w:rsid w:val="00C04946"/>
    <w:rsid w:val="00C07D49"/>
    <w:rsid w:val="00C10E12"/>
    <w:rsid w:val="00C25E48"/>
    <w:rsid w:val="00C322D8"/>
    <w:rsid w:val="00C46206"/>
    <w:rsid w:val="00C465FC"/>
    <w:rsid w:val="00C53DB2"/>
    <w:rsid w:val="00C56A63"/>
    <w:rsid w:val="00C64F11"/>
    <w:rsid w:val="00C6544A"/>
    <w:rsid w:val="00C67B53"/>
    <w:rsid w:val="00C729A8"/>
    <w:rsid w:val="00C91E70"/>
    <w:rsid w:val="00C92F61"/>
    <w:rsid w:val="00CA3E3E"/>
    <w:rsid w:val="00CA62B6"/>
    <w:rsid w:val="00CA78AC"/>
    <w:rsid w:val="00CF35B2"/>
    <w:rsid w:val="00D107D2"/>
    <w:rsid w:val="00D40A52"/>
    <w:rsid w:val="00D52417"/>
    <w:rsid w:val="00D6307A"/>
    <w:rsid w:val="00D74213"/>
    <w:rsid w:val="00D7464A"/>
    <w:rsid w:val="00D86998"/>
    <w:rsid w:val="00D953DB"/>
    <w:rsid w:val="00DB0226"/>
    <w:rsid w:val="00DF134D"/>
    <w:rsid w:val="00DF3B1E"/>
    <w:rsid w:val="00E200B8"/>
    <w:rsid w:val="00E21094"/>
    <w:rsid w:val="00E407A5"/>
    <w:rsid w:val="00E504C9"/>
    <w:rsid w:val="00E50E6D"/>
    <w:rsid w:val="00E5536C"/>
    <w:rsid w:val="00E673C3"/>
    <w:rsid w:val="00E72906"/>
    <w:rsid w:val="00E93DF3"/>
    <w:rsid w:val="00EA53DB"/>
    <w:rsid w:val="00EB2B9D"/>
    <w:rsid w:val="00EB3D14"/>
    <w:rsid w:val="00ED48F7"/>
    <w:rsid w:val="00ED77B1"/>
    <w:rsid w:val="00EE0213"/>
    <w:rsid w:val="00EF5E0F"/>
    <w:rsid w:val="00F24F46"/>
    <w:rsid w:val="00F3596D"/>
    <w:rsid w:val="00F506F2"/>
    <w:rsid w:val="00F71E0A"/>
    <w:rsid w:val="00F765E0"/>
    <w:rsid w:val="00F80D4C"/>
    <w:rsid w:val="00F902E1"/>
    <w:rsid w:val="00FC1624"/>
    <w:rsid w:val="00FC661F"/>
    <w:rsid w:val="00FD6C24"/>
    <w:rsid w:val="00FF02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067"/>
    <w:pPr>
      <w:ind w:left="720"/>
      <w:contextualSpacing/>
    </w:pPr>
  </w:style>
  <w:style w:type="character" w:styleId="Hipervnculo">
    <w:name w:val="Hyperlink"/>
    <w:basedOn w:val="Fuentedeprrafopredeter"/>
    <w:uiPriority w:val="99"/>
    <w:unhideWhenUsed/>
    <w:rsid w:val="001026DB"/>
    <w:rPr>
      <w:color w:val="0000FF" w:themeColor="hyperlink"/>
      <w:u w:val="single"/>
    </w:rPr>
  </w:style>
  <w:style w:type="paragraph" w:styleId="Textonotapie">
    <w:name w:val="footnote text"/>
    <w:basedOn w:val="Normal"/>
    <w:link w:val="TextonotapieCar"/>
    <w:uiPriority w:val="99"/>
    <w:semiHidden/>
    <w:unhideWhenUsed/>
    <w:rsid w:val="009B6C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6C6D"/>
    <w:rPr>
      <w:sz w:val="20"/>
      <w:szCs w:val="20"/>
    </w:rPr>
  </w:style>
  <w:style w:type="character" w:styleId="Refdenotaalpie">
    <w:name w:val="footnote reference"/>
    <w:basedOn w:val="Fuentedeprrafopredeter"/>
    <w:uiPriority w:val="99"/>
    <w:semiHidden/>
    <w:unhideWhenUsed/>
    <w:rsid w:val="009B6C6D"/>
    <w:rPr>
      <w:vertAlign w:val="superscript"/>
    </w:rPr>
  </w:style>
  <w:style w:type="character" w:styleId="Refdecomentario">
    <w:name w:val="annotation reference"/>
    <w:basedOn w:val="Fuentedeprrafopredeter"/>
    <w:uiPriority w:val="99"/>
    <w:semiHidden/>
    <w:unhideWhenUsed/>
    <w:rsid w:val="009B6C6D"/>
    <w:rPr>
      <w:sz w:val="16"/>
      <w:szCs w:val="16"/>
    </w:rPr>
  </w:style>
  <w:style w:type="paragraph" w:styleId="Textocomentario">
    <w:name w:val="annotation text"/>
    <w:basedOn w:val="Normal"/>
    <w:link w:val="TextocomentarioCar"/>
    <w:uiPriority w:val="99"/>
    <w:unhideWhenUsed/>
    <w:rsid w:val="009B6C6D"/>
    <w:pPr>
      <w:spacing w:line="240" w:lineRule="auto"/>
    </w:pPr>
    <w:rPr>
      <w:sz w:val="20"/>
      <w:szCs w:val="20"/>
    </w:rPr>
  </w:style>
  <w:style w:type="character" w:customStyle="1" w:styleId="TextocomentarioCar">
    <w:name w:val="Texto comentario Car"/>
    <w:basedOn w:val="Fuentedeprrafopredeter"/>
    <w:link w:val="Textocomentario"/>
    <w:uiPriority w:val="99"/>
    <w:rsid w:val="009B6C6D"/>
    <w:rPr>
      <w:sz w:val="20"/>
      <w:szCs w:val="20"/>
    </w:rPr>
  </w:style>
  <w:style w:type="paragraph" w:styleId="Asuntodelcomentario">
    <w:name w:val="annotation subject"/>
    <w:basedOn w:val="Textocomentario"/>
    <w:next w:val="Textocomentario"/>
    <w:link w:val="AsuntodelcomentarioCar"/>
    <w:uiPriority w:val="99"/>
    <w:semiHidden/>
    <w:unhideWhenUsed/>
    <w:rsid w:val="009B6C6D"/>
    <w:rPr>
      <w:b/>
      <w:bCs/>
    </w:rPr>
  </w:style>
  <w:style w:type="character" w:customStyle="1" w:styleId="AsuntodelcomentarioCar">
    <w:name w:val="Asunto del comentario Car"/>
    <w:basedOn w:val="TextocomentarioCar"/>
    <w:link w:val="Asuntodelcomentario"/>
    <w:uiPriority w:val="99"/>
    <w:semiHidden/>
    <w:rsid w:val="009B6C6D"/>
    <w:rPr>
      <w:b/>
      <w:bCs/>
      <w:sz w:val="20"/>
      <w:szCs w:val="20"/>
    </w:rPr>
  </w:style>
  <w:style w:type="paragraph" w:styleId="Textodeglobo">
    <w:name w:val="Balloon Text"/>
    <w:basedOn w:val="Normal"/>
    <w:link w:val="TextodegloboCar"/>
    <w:uiPriority w:val="99"/>
    <w:semiHidden/>
    <w:unhideWhenUsed/>
    <w:rsid w:val="009B6C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C6D"/>
    <w:rPr>
      <w:rFonts w:ascii="Tahoma" w:hAnsi="Tahoma" w:cs="Tahoma"/>
      <w:sz w:val="16"/>
      <w:szCs w:val="16"/>
    </w:rPr>
  </w:style>
  <w:style w:type="paragraph" w:styleId="Encabezado">
    <w:name w:val="header"/>
    <w:basedOn w:val="Normal"/>
    <w:link w:val="EncabezadoCar"/>
    <w:unhideWhenUsed/>
    <w:rsid w:val="0021581E"/>
    <w:pPr>
      <w:tabs>
        <w:tab w:val="center" w:pos="4419"/>
        <w:tab w:val="right" w:pos="8838"/>
      </w:tabs>
      <w:spacing w:after="0" w:line="240" w:lineRule="auto"/>
    </w:pPr>
  </w:style>
  <w:style w:type="character" w:customStyle="1" w:styleId="EncabezadoCar">
    <w:name w:val="Encabezado Car"/>
    <w:basedOn w:val="Fuentedeprrafopredeter"/>
    <w:link w:val="Encabezado"/>
    <w:rsid w:val="0021581E"/>
  </w:style>
  <w:style w:type="paragraph" w:styleId="Piedepgina">
    <w:name w:val="footer"/>
    <w:basedOn w:val="Normal"/>
    <w:link w:val="PiedepginaCar"/>
    <w:uiPriority w:val="99"/>
    <w:unhideWhenUsed/>
    <w:rsid w:val="00215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81E"/>
  </w:style>
  <w:style w:type="paragraph" w:customStyle="1" w:styleId="ListParagraph1">
    <w:name w:val="List Paragraph1"/>
    <w:basedOn w:val="Normal"/>
    <w:uiPriority w:val="99"/>
    <w:rsid w:val="00554036"/>
    <w:pPr>
      <w:spacing w:before="200"/>
      <w:ind w:left="720"/>
      <w:contextualSpacing/>
    </w:pPr>
    <w:rPr>
      <w:rFonts w:ascii="Calibri" w:eastAsia="Times New Roman" w:hAnsi="Calibri" w:cs="Times New Roman"/>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67"/>
    <w:pPr>
      <w:ind w:left="720"/>
      <w:contextualSpacing/>
    </w:pPr>
  </w:style>
  <w:style w:type="character" w:styleId="Hyperlink">
    <w:name w:val="Hyperlink"/>
    <w:basedOn w:val="DefaultParagraphFont"/>
    <w:uiPriority w:val="99"/>
    <w:unhideWhenUsed/>
    <w:rsid w:val="001026DB"/>
    <w:rPr>
      <w:color w:val="0000FF" w:themeColor="hyperlink"/>
      <w:u w:val="single"/>
    </w:rPr>
  </w:style>
  <w:style w:type="paragraph" w:styleId="FootnoteText">
    <w:name w:val="footnote text"/>
    <w:basedOn w:val="Normal"/>
    <w:link w:val="FootnoteTextChar"/>
    <w:uiPriority w:val="99"/>
    <w:semiHidden/>
    <w:unhideWhenUsed/>
    <w:rsid w:val="009B6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6D"/>
    <w:rPr>
      <w:sz w:val="20"/>
      <w:szCs w:val="20"/>
    </w:rPr>
  </w:style>
  <w:style w:type="character" w:styleId="FootnoteReference">
    <w:name w:val="footnote reference"/>
    <w:basedOn w:val="DefaultParagraphFont"/>
    <w:uiPriority w:val="99"/>
    <w:semiHidden/>
    <w:unhideWhenUsed/>
    <w:rsid w:val="009B6C6D"/>
    <w:rPr>
      <w:vertAlign w:val="superscript"/>
    </w:rPr>
  </w:style>
  <w:style w:type="character" w:styleId="CommentReference">
    <w:name w:val="annotation reference"/>
    <w:basedOn w:val="DefaultParagraphFont"/>
    <w:uiPriority w:val="99"/>
    <w:semiHidden/>
    <w:unhideWhenUsed/>
    <w:rsid w:val="009B6C6D"/>
    <w:rPr>
      <w:sz w:val="16"/>
      <w:szCs w:val="16"/>
    </w:rPr>
  </w:style>
  <w:style w:type="paragraph" w:styleId="CommentText">
    <w:name w:val="annotation text"/>
    <w:basedOn w:val="Normal"/>
    <w:link w:val="CommentTextChar"/>
    <w:uiPriority w:val="99"/>
    <w:unhideWhenUsed/>
    <w:rsid w:val="009B6C6D"/>
    <w:pPr>
      <w:spacing w:line="240" w:lineRule="auto"/>
    </w:pPr>
    <w:rPr>
      <w:sz w:val="20"/>
      <w:szCs w:val="20"/>
    </w:rPr>
  </w:style>
  <w:style w:type="character" w:customStyle="1" w:styleId="CommentTextChar">
    <w:name w:val="Comment Text Char"/>
    <w:basedOn w:val="DefaultParagraphFont"/>
    <w:link w:val="CommentText"/>
    <w:uiPriority w:val="99"/>
    <w:rsid w:val="009B6C6D"/>
    <w:rPr>
      <w:sz w:val="20"/>
      <w:szCs w:val="20"/>
    </w:rPr>
  </w:style>
  <w:style w:type="paragraph" w:styleId="CommentSubject">
    <w:name w:val="annotation subject"/>
    <w:basedOn w:val="CommentText"/>
    <w:next w:val="CommentText"/>
    <w:link w:val="CommentSubjectChar"/>
    <w:uiPriority w:val="99"/>
    <w:semiHidden/>
    <w:unhideWhenUsed/>
    <w:rsid w:val="009B6C6D"/>
    <w:rPr>
      <w:b/>
      <w:bCs/>
    </w:rPr>
  </w:style>
  <w:style w:type="character" w:customStyle="1" w:styleId="CommentSubjectChar">
    <w:name w:val="Comment Subject Char"/>
    <w:basedOn w:val="CommentTextChar"/>
    <w:link w:val="CommentSubject"/>
    <w:uiPriority w:val="99"/>
    <w:semiHidden/>
    <w:rsid w:val="009B6C6D"/>
    <w:rPr>
      <w:b/>
      <w:bCs/>
      <w:sz w:val="20"/>
      <w:szCs w:val="20"/>
    </w:rPr>
  </w:style>
  <w:style w:type="paragraph" w:styleId="BalloonText">
    <w:name w:val="Balloon Text"/>
    <w:basedOn w:val="Normal"/>
    <w:link w:val="BalloonTextChar"/>
    <w:uiPriority w:val="99"/>
    <w:semiHidden/>
    <w:unhideWhenUsed/>
    <w:rsid w:val="009B6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6D"/>
    <w:rPr>
      <w:rFonts w:ascii="Tahoma" w:hAnsi="Tahoma" w:cs="Tahoma"/>
      <w:sz w:val="16"/>
      <w:szCs w:val="16"/>
    </w:rPr>
  </w:style>
  <w:style w:type="paragraph" w:styleId="Header">
    <w:name w:val="header"/>
    <w:basedOn w:val="Normal"/>
    <w:link w:val="HeaderChar"/>
    <w:uiPriority w:val="99"/>
    <w:unhideWhenUsed/>
    <w:rsid w:val="002158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581E"/>
  </w:style>
  <w:style w:type="paragraph" w:styleId="Footer">
    <w:name w:val="footer"/>
    <w:basedOn w:val="Normal"/>
    <w:link w:val="FooterChar"/>
    <w:uiPriority w:val="99"/>
    <w:unhideWhenUsed/>
    <w:rsid w:val="002158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21581E"/>
  </w:style>
  <w:style w:type="paragraph" w:customStyle="1" w:styleId="ListParagraph1">
    <w:name w:val="List Paragraph1"/>
    <w:basedOn w:val="Normal"/>
    <w:uiPriority w:val="99"/>
    <w:rsid w:val="00554036"/>
    <w:pPr>
      <w:spacing w:before="200"/>
      <w:ind w:left="720"/>
      <w:contextualSpacing/>
    </w:pPr>
    <w:rPr>
      <w:rFonts w:ascii="Calibri" w:eastAsia="Times New Roman" w:hAnsi="Calibri" w:cs="Times New Roman"/>
      <w:sz w:val="20"/>
      <w:szCs w:val="20"/>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rcuryconvention.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B1D90-E36A-45CB-A979-7B154CF5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2529</Words>
  <Characters>13915</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Nations Office at Geneva</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jordip</dc:creator>
  <cp:lastModifiedBy>cumberbatchs</cp:lastModifiedBy>
  <cp:revision>3</cp:revision>
  <cp:lastPrinted>2014-01-30T14:05:00Z</cp:lastPrinted>
  <dcterms:created xsi:type="dcterms:W3CDTF">2014-02-24T16:16:00Z</dcterms:created>
  <dcterms:modified xsi:type="dcterms:W3CDTF">2014-02-24T16:22:00Z</dcterms:modified>
</cp:coreProperties>
</file>