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7AA1A" w14:textId="32CE727C" w:rsidR="002B7B0F" w:rsidRPr="001A4755" w:rsidRDefault="00BD6FB3" w:rsidP="00D35319">
      <w:pPr>
        <w:pStyle w:val="Texto"/>
        <w:spacing w:before="0"/>
        <w:jc w:val="center"/>
        <w:rPr>
          <w:rFonts w:asciiTheme="minorHAnsi" w:hAnsiTheme="minorHAnsi" w:cs="Arial"/>
          <w:b/>
          <w:sz w:val="24"/>
          <w:lang w:val="es-MX"/>
        </w:rPr>
      </w:pPr>
      <w:r w:rsidRPr="001A4755">
        <w:rPr>
          <w:rFonts w:asciiTheme="minorHAnsi" w:hAnsiTheme="minorHAnsi" w:cs="Arial"/>
          <w:b/>
          <w:sz w:val="24"/>
          <w:lang w:val="es-MX"/>
        </w:rPr>
        <w:t xml:space="preserve">Decisión </w:t>
      </w:r>
      <w:r w:rsidR="00076E38" w:rsidRPr="001A4755">
        <w:rPr>
          <w:rFonts w:asciiTheme="minorHAnsi" w:hAnsiTheme="minorHAnsi" w:cs="Arial"/>
          <w:b/>
          <w:sz w:val="24"/>
          <w:lang w:val="es-MX"/>
        </w:rPr>
        <w:t>8</w:t>
      </w:r>
      <w:r w:rsidR="001A4755">
        <w:rPr>
          <w:rFonts w:asciiTheme="minorHAnsi" w:hAnsiTheme="minorHAnsi" w:cs="Arial"/>
          <w:b/>
          <w:sz w:val="24"/>
          <w:lang w:val="es-MX"/>
        </w:rPr>
        <w:t xml:space="preserve">.  </w:t>
      </w:r>
      <w:r w:rsidR="002B7B0F" w:rsidRPr="001A4755">
        <w:rPr>
          <w:rFonts w:asciiTheme="minorHAnsi" w:hAnsiTheme="minorHAnsi" w:cs="Arial"/>
          <w:b/>
          <w:sz w:val="24"/>
          <w:lang w:val="es-MX"/>
        </w:rPr>
        <w:t xml:space="preserve">Químicos y </w:t>
      </w:r>
      <w:r w:rsidR="004A2D1F" w:rsidRPr="001A4755">
        <w:rPr>
          <w:rFonts w:asciiTheme="minorHAnsi" w:hAnsiTheme="minorHAnsi" w:cs="Arial"/>
          <w:b/>
          <w:sz w:val="24"/>
          <w:lang w:val="es-MX"/>
        </w:rPr>
        <w:t>Desechos</w:t>
      </w:r>
    </w:p>
    <w:p w14:paraId="1196041F" w14:textId="77777777" w:rsidR="00654212" w:rsidRPr="001A4755" w:rsidRDefault="00654212" w:rsidP="00D35319">
      <w:pPr>
        <w:pStyle w:val="Texto"/>
        <w:pBdr>
          <w:bottom w:val="single" w:sz="4" w:space="0" w:color="auto"/>
        </w:pBdr>
        <w:spacing w:before="0"/>
        <w:jc w:val="center"/>
        <w:rPr>
          <w:rFonts w:asciiTheme="minorHAnsi" w:hAnsiTheme="minorHAnsi" w:cs="Arial"/>
          <w:b/>
          <w:color w:val="FF0000"/>
          <w:sz w:val="24"/>
          <w:lang w:val="es-MX"/>
        </w:rPr>
      </w:pPr>
    </w:p>
    <w:p w14:paraId="4328E2C4" w14:textId="77777777" w:rsidR="00C30B8A" w:rsidRPr="001A4755" w:rsidRDefault="00C30B8A" w:rsidP="00D35319">
      <w:pPr>
        <w:spacing w:before="0"/>
        <w:rPr>
          <w:rFonts w:asciiTheme="minorHAnsi" w:hAnsiTheme="minorHAnsi" w:cs="Arial"/>
          <w:b/>
          <w:sz w:val="24"/>
          <w:szCs w:val="24"/>
        </w:rPr>
      </w:pPr>
    </w:p>
    <w:p w14:paraId="05684932" w14:textId="5FA1C6F4" w:rsidR="00076E38" w:rsidRPr="001A4755" w:rsidRDefault="00076E38" w:rsidP="00D35319">
      <w:pPr>
        <w:spacing w:before="0"/>
        <w:rPr>
          <w:rFonts w:asciiTheme="minorHAnsi" w:hAnsiTheme="minorHAnsi" w:cs="Arial"/>
          <w:b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 xml:space="preserve">Los </w:t>
      </w:r>
      <w:r w:rsidR="001A4755" w:rsidRPr="001A4755">
        <w:rPr>
          <w:rFonts w:asciiTheme="minorHAnsi" w:hAnsiTheme="minorHAnsi" w:cs="Arial"/>
          <w:b/>
          <w:sz w:val="24"/>
          <w:szCs w:val="24"/>
        </w:rPr>
        <w:t>M</w:t>
      </w:r>
      <w:r w:rsidRPr="001A4755">
        <w:rPr>
          <w:rFonts w:asciiTheme="minorHAnsi" w:hAnsiTheme="minorHAnsi" w:cs="Arial"/>
          <w:b/>
          <w:sz w:val="24"/>
          <w:szCs w:val="24"/>
        </w:rPr>
        <w:t xml:space="preserve">inistros </w:t>
      </w:r>
      <w:r w:rsidR="00682350" w:rsidRPr="001A4755">
        <w:rPr>
          <w:rFonts w:asciiTheme="minorHAnsi" w:hAnsiTheme="minorHAnsi" w:cs="Arial"/>
          <w:b/>
          <w:sz w:val="24"/>
          <w:szCs w:val="24"/>
        </w:rPr>
        <w:t xml:space="preserve">de </w:t>
      </w:r>
      <w:r w:rsidR="001A4755" w:rsidRPr="001A4755">
        <w:rPr>
          <w:rFonts w:asciiTheme="minorHAnsi" w:hAnsiTheme="minorHAnsi" w:cs="Arial"/>
          <w:b/>
          <w:sz w:val="24"/>
          <w:szCs w:val="24"/>
        </w:rPr>
        <w:t>M</w:t>
      </w:r>
      <w:r w:rsidR="00682350" w:rsidRPr="001A4755">
        <w:rPr>
          <w:rFonts w:asciiTheme="minorHAnsi" w:hAnsiTheme="minorHAnsi" w:cs="Arial"/>
          <w:b/>
          <w:sz w:val="24"/>
          <w:szCs w:val="24"/>
        </w:rPr>
        <w:t xml:space="preserve">edio </w:t>
      </w:r>
      <w:r w:rsidR="001A4755" w:rsidRPr="001A4755">
        <w:rPr>
          <w:rFonts w:asciiTheme="minorHAnsi" w:hAnsiTheme="minorHAnsi" w:cs="Arial"/>
          <w:b/>
          <w:sz w:val="24"/>
          <w:szCs w:val="24"/>
        </w:rPr>
        <w:t>A</w:t>
      </w:r>
      <w:r w:rsidR="00682350" w:rsidRPr="001A4755">
        <w:rPr>
          <w:rFonts w:asciiTheme="minorHAnsi" w:hAnsiTheme="minorHAnsi" w:cs="Arial"/>
          <w:b/>
          <w:sz w:val="24"/>
          <w:szCs w:val="24"/>
        </w:rPr>
        <w:t xml:space="preserve">mbiente </w:t>
      </w:r>
      <w:r w:rsidRPr="001A4755">
        <w:rPr>
          <w:rFonts w:asciiTheme="minorHAnsi" w:hAnsiTheme="minorHAnsi" w:cs="Arial"/>
          <w:b/>
          <w:sz w:val="24"/>
          <w:szCs w:val="24"/>
        </w:rPr>
        <w:t xml:space="preserve">de América Latina y el Caribe, </w:t>
      </w:r>
    </w:p>
    <w:p w14:paraId="32B18FC1" w14:textId="77777777" w:rsidR="00076E38" w:rsidRPr="001A4755" w:rsidRDefault="00076E38" w:rsidP="00D35319">
      <w:pPr>
        <w:spacing w:before="0"/>
        <w:rPr>
          <w:rFonts w:asciiTheme="minorHAnsi" w:hAnsiTheme="minorHAnsi" w:cs="Arial"/>
          <w:b/>
          <w:sz w:val="24"/>
          <w:szCs w:val="24"/>
        </w:rPr>
      </w:pPr>
    </w:p>
    <w:p w14:paraId="12905A50" w14:textId="77777777" w:rsidR="00B73F56" w:rsidRPr="001A4755" w:rsidRDefault="00B73F56" w:rsidP="00FE5C35">
      <w:pPr>
        <w:spacing w:before="0"/>
        <w:jc w:val="left"/>
        <w:rPr>
          <w:rFonts w:asciiTheme="minorHAnsi" w:hAnsiTheme="minorHAnsi" w:cs="Arial"/>
          <w:b/>
          <w:i/>
          <w:sz w:val="24"/>
          <w:szCs w:val="24"/>
        </w:rPr>
      </w:pPr>
      <w:r w:rsidRPr="001A4755">
        <w:rPr>
          <w:rFonts w:asciiTheme="minorHAnsi" w:hAnsiTheme="minorHAnsi" w:cs="Arial"/>
          <w:b/>
          <w:i/>
          <w:sz w:val="24"/>
          <w:szCs w:val="24"/>
        </w:rPr>
        <w:t>Cooperación Regional</w:t>
      </w:r>
    </w:p>
    <w:p w14:paraId="46E57220" w14:textId="77777777" w:rsidR="00B73F56" w:rsidRPr="001A4755" w:rsidRDefault="00B73F56" w:rsidP="00D35319">
      <w:pPr>
        <w:spacing w:before="0"/>
        <w:rPr>
          <w:rFonts w:asciiTheme="minorHAnsi" w:hAnsiTheme="minorHAnsi" w:cs="Arial"/>
          <w:b/>
          <w:sz w:val="24"/>
          <w:szCs w:val="24"/>
        </w:rPr>
      </w:pPr>
    </w:p>
    <w:p w14:paraId="6B57FEE7" w14:textId="5DA1E7E6" w:rsidR="000223F0" w:rsidRPr="001A4755" w:rsidRDefault="00F24A21" w:rsidP="00D35319">
      <w:p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Reconociendo</w:t>
      </w:r>
      <w:bookmarkStart w:id="0" w:name="_GoBack"/>
      <w:bookmarkEnd w:id="0"/>
      <w:r w:rsidRPr="001A4755">
        <w:rPr>
          <w:rFonts w:asciiTheme="minorHAnsi" w:hAnsiTheme="minorHAnsi" w:cs="Arial"/>
          <w:b/>
          <w:sz w:val="24"/>
          <w:szCs w:val="24"/>
        </w:rPr>
        <w:t xml:space="preserve"> </w:t>
      </w:r>
      <w:r w:rsidR="000223F0" w:rsidRPr="001A4755">
        <w:rPr>
          <w:rFonts w:asciiTheme="minorHAnsi" w:hAnsiTheme="minorHAnsi" w:cs="Arial"/>
          <w:sz w:val="24"/>
          <w:szCs w:val="24"/>
        </w:rPr>
        <w:t xml:space="preserve">la </w:t>
      </w:r>
      <w:r w:rsidRPr="001A4755">
        <w:rPr>
          <w:rFonts w:asciiTheme="minorHAnsi" w:hAnsiTheme="minorHAnsi" w:cs="Arial"/>
          <w:sz w:val="24"/>
          <w:szCs w:val="24"/>
        </w:rPr>
        <w:t xml:space="preserve">urgente </w:t>
      </w:r>
      <w:r w:rsidR="000223F0" w:rsidRPr="001A4755">
        <w:rPr>
          <w:rFonts w:asciiTheme="minorHAnsi" w:hAnsiTheme="minorHAnsi" w:cs="Arial"/>
          <w:sz w:val="24"/>
          <w:szCs w:val="24"/>
        </w:rPr>
        <w:t xml:space="preserve">necesidad de una acción concertada de todos los países </w:t>
      </w:r>
      <w:r w:rsidRPr="001A4755">
        <w:rPr>
          <w:rFonts w:asciiTheme="minorHAnsi" w:hAnsiTheme="minorHAnsi" w:cs="Arial"/>
          <w:sz w:val="24"/>
          <w:szCs w:val="24"/>
        </w:rPr>
        <w:t xml:space="preserve">de la región </w:t>
      </w:r>
      <w:r w:rsidR="000223F0" w:rsidRPr="001A4755">
        <w:rPr>
          <w:rFonts w:asciiTheme="minorHAnsi" w:hAnsiTheme="minorHAnsi" w:cs="Arial"/>
          <w:sz w:val="24"/>
          <w:szCs w:val="24"/>
        </w:rPr>
        <w:t xml:space="preserve">para abordar de manera eficaz los riesgos sobre la salud y el medio ambiente derivados de una gestión inadecuada de los productos químicos y </w:t>
      </w:r>
      <w:r w:rsidRPr="001A4755">
        <w:rPr>
          <w:rFonts w:asciiTheme="minorHAnsi" w:hAnsiTheme="minorHAnsi" w:cs="Arial"/>
          <w:sz w:val="24"/>
          <w:szCs w:val="24"/>
        </w:rPr>
        <w:t xml:space="preserve">todos </w:t>
      </w:r>
      <w:r w:rsidR="000223F0" w:rsidRPr="001A4755">
        <w:rPr>
          <w:rFonts w:asciiTheme="minorHAnsi" w:hAnsiTheme="minorHAnsi" w:cs="Arial"/>
          <w:sz w:val="24"/>
          <w:szCs w:val="24"/>
        </w:rPr>
        <w:t xml:space="preserve">los </w:t>
      </w:r>
      <w:r w:rsidR="004A2D1F" w:rsidRPr="001A4755">
        <w:rPr>
          <w:rFonts w:asciiTheme="minorHAnsi" w:hAnsiTheme="minorHAnsi" w:cs="Arial"/>
          <w:sz w:val="24"/>
          <w:szCs w:val="24"/>
        </w:rPr>
        <w:t>desechos</w:t>
      </w:r>
      <w:r w:rsidR="00BD2CE8" w:rsidRPr="001A4755">
        <w:rPr>
          <w:rFonts w:asciiTheme="minorHAnsi" w:hAnsiTheme="minorHAnsi" w:cs="Arial"/>
          <w:sz w:val="24"/>
          <w:szCs w:val="24"/>
        </w:rPr>
        <w:t>, así como de la importancia de contar con mecanismos de articulación regional</w:t>
      </w:r>
      <w:r w:rsidR="000223F0" w:rsidRPr="001A4755">
        <w:rPr>
          <w:rFonts w:asciiTheme="minorHAnsi" w:hAnsiTheme="minorHAnsi" w:cs="Arial"/>
          <w:sz w:val="24"/>
          <w:szCs w:val="24"/>
        </w:rPr>
        <w:t>;</w:t>
      </w:r>
    </w:p>
    <w:p w14:paraId="2D784552" w14:textId="77777777" w:rsidR="00935232" w:rsidRPr="001A4755" w:rsidRDefault="00935232" w:rsidP="00D35319">
      <w:pPr>
        <w:spacing w:before="0"/>
        <w:rPr>
          <w:rFonts w:asciiTheme="minorHAnsi" w:hAnsiTheme="minorHAnsi" w:cs="Arial"/>
          <w:sz w:val="24"/>
          <w:szCs w:val="24"/>
        </w:rPr>
      </w:pPr>
    </w:p>
    <w:p w14:paraId="24FDB703" w14:textId="5B8AC526" w:rsidR="00935232" w:rsidRPr="001A4755" w:rsidRDefault="00935232" w:rsidP="00935232">
      <w:p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Reiterando</w:t>
      </w:r>
      <w:r w:rsidRPr="001A4755">
        <w:rPr>
          <w:rFonts w:asciiTheme="minorHAnsi" w:hAnsiTheme="minorHAnsi" w:cs="Arial"/>
          <w:sz w:val="24"/>
          <w:szCs w:val="24"/>
        </w:rPr>
        <w:t xml:space="preserve"> la necesidad de fomentar, en colaboración con las organizaciones internacionales y otras partes interesadas, el apoyo financiero necesario para la implementación de la gestión ambientalmente adecuada de las sustancias químicos y desechos;</w:t>
      </w:r>
    </w:p>
    <w:p w14:paraId="29DAD67C" w14:textId="77777777" w:rsidR="00D35319" w:rsidRPr="001A4755" w:rsidRDefault="00D35319" w:rsidP="00D35319">
      <w:pPr>
        <w:spacing w:before="0"/>
        <w:rPr>
          <w:rFonts w:asciiTheme="minorHAnsi" w:hAnsiTheme="minorHAnsi" w:cs="Arial"/>
          <w:sz w:val="24"/>
          <w:szCs w:val="24"/>
        </w:rPr>
      </w:pPr>
    </w:p>
    <w:p w14:paraId="4B63228C" w14:textId="413C3E73" w:rsidR="00B111E2" w:rsidRPr="001A4755" w:rsidRDefault="00B73F56" w:rsidP="00B73F56">
      <w:pPr>
        <w:spacing w:before="0"/>
        <w:jc w:val="center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Decide</w:t>
      </w:r>
      <w:r w:rsidR="00076E38" w:rsidRPr="001A4755">
        <w:rPr>
          <w:rFonts w:asciiTheme="minorHAnsi" w:hAnsiTheme="minorHAnsi" w:cs="Arial"/>
          <w:b/>
          <w:sz w:val="24"/>
          <w:szCs w:val="24"/>
        </w:rPr>
        <w:t>n</w:t>
      </w:r>
    </w:p>
    <w:p w14:paraId="353123FC" w14:textId="77777777" w:rsidR="00B111E2" w:rsidRPr="001A4755" w:rsidRDefault="00B111E2" w:rsidP="00D35319">
      <w:pPr>
        <w:spacing w:before="0"/>
        <w:rPr>
          <w:rFonts w:asciiTheme="minorHAnsi" w:hAnsiTheme="minorHAnsi" w:cs="Arial"/>
          <w:sz w:val="24"/>
          <w:szCs w:val="24"/>
        </w:rPr>
      </w:pPr>
    </w:p>
    <w:p w14:paraId="393E4D32" w14:textId="69570054" w:rsidR="00B73F56" w:rsidRPr="001A4755" w:rsidRDefault="00B73F56" w:rsidP="00B73F56">
      <w:pPr>
        <w:pStyle w:val="Prrafodelista"/>
        <w:numPr>
          <w:ilvl w:val="0"/>
          <w:numId w:val="5"/>
        </w:num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Establecer</w:t>
      </w:r>
      <w:r w:rsidR="00395624" w:rsidRPr="001A4755">
        <w:rPr>
          <w:rFonts w:asciiTheme="minorHAnsi" w:hAnsiTheme="minorHAnsi" w:cs="Arial"/>
          <w:sz w:val="24"/>
          <w:szCs w:val="24"/>
        </w:rPr>
        <w:t xml:space="preserve"> una r</w:t>
      </w:r>
      <w:r w:rsidRPr="001A4755">
        <w:rPr>
          <w:rFonts w:asciiTheme="minorHAnsi" w:hAnsiTheme="minorHAnsi" w:cs="Arial"/>
          <w:sz w:val="24"/>
          <w:szCs w:val="24"/>
        </w:rPr>
        <w:t xml:space="preserve">ed </w:t>
      </w:r>
      <w:r w:rsidR="002B4D37" w:rsidRPr="001A4755">
        <w:rPr>
          <w:rFonts w:asciiTheme="minorHAnsi" w:hAnsiTheme="minorHAnsi" w:cs="Arial"/>
          <w:sz w:val="24"/>
          <w:szCs w:val="24"/>
        </w:rPr>
        <w:t xml:space="preserve">intergubernamental </w:t>
      </w:r>
      <w:r w:rsidR="00E864B3" w:rsidRPr="001A4755">
        <w:rPr>
          <w:rFonts w:asciiTheme="minorHAnsi" w:hAnsiTheme="minorHAnsi" w:cs="Arial"/>
          <w:sz w:val="24"/>
          <w:szCs w:val="24"/>
        </w:rPr>
        <w:t xml:space="preserve">sobre </w:t>
      </w:r>
      <w:r w:rsidR="00395624" w:rsidRPr="001A4755">
        <w:rPr>
          <w:rFonts w:asciiTheme="minorHAnsi" w:hAnsiTheme="minorHAnsi" w:cs="Arial"/>
          <w:sz w:val="24"/>
          <w:szCs w:val="24"/>
        </w:rPr>
        <w:t xml:space="preserve">químicos y </w:t>
      </w:r>
      <w:r w:rsidR="004A2D1F" w:rsidRPr="001A4755">
        <w:rPr>
          <w:rFonts w:asciiTheme="minorHAnsi" w:hAnsiTheme="minorHAnsi" w:cs="Arial"/>
          <w:sz w:val="24"/>
          <w:szCs w:val="24"/>
        </w:rPr>
        <w:t xml:space="preserve">desechos </w:t>
      </w:r>
      <w:r w:rsidR="002B4D37" w:rsidRPr="001A4755">
        <w:rPr>
          <w:rFonts w:asciiTheme="minorHAnsi" w:hAnsiTheme="minorHAnsi" w:cs="Arial"/>
          <w:sz w:val="24"/>
          <w:szCs w:val="24"/>
        </w:rPr>
        <w:t xml:space="preserve">para América Latina y el Caribe, </w:t>
      </w:r>
      <w:r w:rsidR="003A593B" w:rsidRPr="001A4755">
        <w:rPr>
          <w:rFonts w:asciiTheme="minorHAnsi" w:hAnsiTheme="minorHAnsi" w:cs="Arial"/>
          <w:sz w:val="24"/>
          <w:szCs w:val="24"/>
        </w:rPr>
        <w:t xml:space="preserve">cuyos Términos de Referencia se anexan a esta Decisión, </w:t>
      </w:r>
      <w:r w:rsidR="00395624" w:rsidRPr="001A4755">
        <w:rPr>
          <w:rFonts w:asciiTheme="minorHAnsi" w:hAnsiTheme="minorHAnsi" w:cs="Arial"/>
          <w:sz w:val="24"/>
          <w:szCs w:val="24"/>
        </w:rPr>
        <w:t xml:space="preserve">con el objetivo principal de </w:t>
      </w:r>
      <w:r w:rsidR="00E864B3" w:rsidRPr="001A4755">
        <w:rPr>
          <w:rFonts w:asciiTheme="minorHAnsi" w:hAnsiTheme="minorHAnsi" w:cs="Arial"/>
          <w:sz w:val="24"/>
          <w:szCs w:val="24"/>
        </w:rPr>
        <w:t xml:space="preserve">fortalecer la gestión </w:t>
      </w:r>
      <w:r w:rsidR="009171C9" w:rsidRPr="001A4755">
        <w:rPr>
          <w:rFonts w:asciiTheme="minorHAnsi" w:hAnsiTheme="minorHAnsi" w:cs="Arial"/>
          <w:sz w:val="24"/>
          <w:szCs w:val="24"/>
        </w:rPr>
        <w:t>ambientalmente</w:t>
      </w:r>
      <w:r w:rsidR="00907910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E864B3" w:rsidRPr="001A4755">
        <w:rPr>
          <w:rFonts w:asciiTheme="minorHAnsi" w:hAnsiTheme="minorHAnsi" w:cs="Arial"/>
          <w:sz w:val="24"/>
          <w:szCs w:val="24"/>
        </w:rPr>
        <w:t>racional</w:t>
      </w:r>
      <w:r w:rsidR="00A45610" w:rsidRPr="001A4755">
        <w:rPr>
          <w:rFonts w:asciiTheme="minorHAnsi" w:hAnsiTheme="minorHAnsi" w:cs="Arial"/>
          <w:sz w:val="24"/>
          <w:szCs w:val="24"/>
        </w:rPr>
        <w:t xml:space="preserve"> de dichos productos y </w:t>
      </w:r>
      <w:r w:rsidR="004A2D1F" w:rsidRPr="001A4755">
        <w:rPr>
          <w:rFonts w:asciiTheme="minorHAnsi" w:hAnsiTheme="minorHAnsi" w:cs="Arial"/>
          <w:sz w:val="24"/>
          <w:szCs w:val="24"/>
        </w:rPr>
        <w:t>desecho</w:t>
      </w:r>
      <w:r w:rsidR="00A45610" w:rsidRPr="001A4755">
        <w:rPr>
          <w:rFonts w:asciiTheme="minorHAnsi" w:hAnsiTheme="minorHAnsi" w:cs="Arial"/>
          <w:sz w:val="24"/>
          <w:szCs w:val="24"/>
        </w:rPr>
        <w:t>s</w:t>
      </w:r>
      <w:r w:rsidR="00E864B3" w:rsidRPr="001A4755">
        <w:rPr>
          <w:rFonts w:asciiTheme="minorHAnsi" w:hAnsiTheme="minorHAnsi" w:cs="Arial"/>
          <w:sz w:val="24"/>
          <w:szCs w:val="24"/>
        </w:rPr>
        <w:t xml:space="preserve">, </w:t>
      </w:r>
      <w:r w:rsidR="00395624" w:rsidRPr="001A4755">
        <w:rPr>
          <w:rFonts w:asciiTheme="minorHAnsi" w:hAnsiTheme="minorHAnsi" w:cs="Arial"/>
          <w:sz w:val="24"/>
          <w:szCs w:val="24"/>
        </w:rPr>
        <w:t xml:space="preserve">reforzar la cooperación </w:t>
      </w:r>
      <w:r w:rsidR="00907910" w:rsidRPr="001A4755">
        <w:rPr>
          <w:rFonts w:asciiTheme="minorHAnsi" w:hAnsiTheme="minorHAnsi" w:cs="Arial"/>
          <w:sz w:val="24"/>
          <w:szCs w:val="24"/>
        </w:rPr>
        <w:t xml:space="preserve">sub-regional y </w:t>
      </w:r>
      <w:r w:rsidR="00395624" w:rsidRPr="001A4755">
        <w:rPr>
          <w:rFonts w:asciiTheme="minorHAnsi" w:hAnsiTheme="minorHAnsi" w:cs="Arial"/>
          <w:sz w:val="24"/>
          <w:szCs w:val="24"/>
        </w:rPr>
        <w:t>regional</w:t>
      </w:r>
      <w:r w:rsidR="008A6520" w:rsidRPr="001A4755">
        <w:rPr>
          <w:rFonts w:asciiTheme="minorHAnsi" w:hAnsiTheme="minorHAnsi" w:cs="Arial"/>
          <w:sz w:val="24"/>
          <w:szCs w:val="24"/>
        </w:rPr>
        <w:t xml:space="preserve"> y</w:t>
      </w:r>
      <w:r w:rsidR="00395624" w:rsidRPr="001A4755">
        <w:rPr>
          <w:rFonts w:asciiTheme="minorHAnsi" w:hAnsiTheme="minorHAnsi" w:cs="Arial"/>
          <w:sz w:val="24"/>
          <w:szCs w:val="24"/>
        </w:rPr>
        <w:t xml:space="preserve"> facilitar el intercambio de experiencias</w:t>
      </w:r>
      <w:r w:rsidR="008A6520" w:rsidRPr="001A4755">
        <w:rPr>
          <w:rFonts w:asciiTheme="minorHAnsi" w:hAnsiTheme="minorHAnsi" w:cs="Arial"/>
          <w:sz w:val="24"/>
          <w:szCs w:val="24"/>
        </w:rPr>
        <w:t xml:space="preserve">, </w:t>
      </w:r>
      <w:r w:rsidR="00395624" w:rsidRPr="001A4755">
        <w:rPr>
          <w:rFonts w:asciiTheme="minorHAnsi" w:hAnsiTheme="minorHAnsi" w:cs="Arial"/>
          <w:sz w:val="24"/>
          <w:szCs w:val="24"/>
        </w:rPr>
        <w:t xml:space="preserve">asegurando </w:t>
      </w:r>
      <w:r w:rsidR="005633A4" w:rsidRPr="001A4755">
        <w:rPr>
          <w:rFonts w:asciiTheme="minorHAnsi" w:hAnsiTheme="minorHAnsi" w:cs="Arial"/>
          <w:sz w:val="24"/>
          <w:szCs w:val="24"/>
        </w:rPr>
        <w:t xml:space="preserve">la cooperación y coordinación </w:t>
      </w:r>
      <w:r w:rsidR="00395624" w:rsidRPr="001A4755">
        <w:rPr>
          <w:rFonts w:asciiTheme="minorHAnsi" w:hAnsiTheme="minorHAnsi" w:cs="Arial"/>
          <w:sz w:val="24"/>
          <w:szCs w:val="24"/>
        </w:rPr>
        <w:t xml:space="preserve">con </w:t>
      </w:r>
      <w:r w:rsidR="000F0EB5" w:rsidRPr="001A4755">
        <w:rPr>
          <w:rFonts w:asciiTheme="minorHAnsi" w:hAnsiTheme="minorHAnsi" w:cs="Arial"/>
          <w:sz w:val="24"/>
          <w:szCs w:val="24"/>
        </w:rPr>
        <w:t>marcos internacionales y regionales convenidos</w:t>
      </w:r>
      <w:r w:rsidR="00D10668" w:rsidRPr="001A4755">
        <w:rPr>
          <w:rFonts w:asciiTheme="minorHAnsi" w:hAnsiTheme="minorHAnsi" w:cs="Arial"/>
          <w:sz w:val="24"/>
          <w:szCs w:val="24"/>
        </w:rPr>
        <w:t xml:space="preserve">, así como </w:t>
      </w:r>
      <w:r w:rsidR="0020083C" w:rsidRPr="001A4755">
        <w:rPr>
          <w:rFonts w:asciiTheme="minorHAnsi" w:hAnsiTheme="minorHAnsi" w:cs="Arial"/>
          <w:sz w:val="24"/>
          <w:szCs w:val="24"/>
        </w:rPr>
        <w:t xml:space="preserve">mejorando </w:t>
      </w:r>
      <w:r w:rsidR="00D10668" w:rsidRPr="001A4755">
        <w:rPr>
          <w:rFonts w:asciiTheme="minorHAnsi" w:hAnsiTheme="minorHAnsi" w:cs="Arial"/>
          <w:sz w:val="24"/>
          <w:szCs w:val="24"/>
        </w:rPr>
        <w:t xml:space="preserve">la </w:t>
      </w:r>
      <w:r w:rsidR="002B4D37" w:rsidRPr="001A4755">
        <w:rPr>
          <w:rFonts w:asciiTheme="minorHAnsi" w:hAnsiTheme="minorHAnsi" w:cs="Arial"/>
          <w:sz w:val="24"/>
          <w:szCs w:val="24"/>
        </w:rPr>
        <w:t xml:space="preserve">participación y </w:t>
      </w:r>
      <w:r w:rsidR="00D10668" w:rsidRPr="001A4755">
        <w:rPr>
          <w:rFonts w:asciiTheme="minorHAnsi" w:hAnsiTheme="minorHAnsi" w:cs="Arial"/>
          <w:sz w:val="24"/>
          <w:szCs w:val="24"/>
        </w:rPr>
        <w:t>comunicación con otros actores</w:t>
      </w:r>
      <w:r w:rsidR="00395624" w:rsidRPr="001A4755">
        <w:rPr>
          <w:rFonts w:asciiTheme="minorHAnsi" w:hAnsiTheme="minorHAnsi" w:cs="Arial"/>
          <w:sz w:val="24"/>
          <w:szCs w:val="24"/>
        </w:rPr>
        <w:t>.</w:t>
      </w:r>
    </w:p>
    <w:p w14:paraId="2624380E" w14:textId="77777777" w:rsidR="00395624" w:rsidRPr="001A4755" w:rsidRDefault="00395624" w:rsidP="008A6520">
      <w:pPr>
        <w:spacing w:before="0"/>
        <w:rPr>
          <w:rFonts w:asciiTheme="minorHAnsi" w:hAnsiTheme="minorHAnsi" w:cs="Arial"/>
          <w:sz w:val="24"/>
          <w:szCs w:val="24"/>
        </w:rPr>
      </w:pPr>
    </w:p>
    <w:p w14:paraId="56873019" w14:textId="2E9181B8" w:rsidR="00932830" w:rsidRPr="001A4755" w:rsidRDefault="00A60429" w:rsidP="00932830">
      <w:pPr>
        <w:pStyle w:val="Prrafodelista"/>
        <w:numPr>
          <w:ilvl w:val="0"/>
          <w:numId w:val="5"/>
        </w:num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Invitar</w:t>
      </w:r>
      <w:r w:rsidR="00B111E2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AB67BE" w:rsidRPr="001A4755">
        <w:rPr>
          <w:rFonts w:asciiTheme="minorHAnsi" w:hAnsiTheme="minorHAnsi" w:cs="Arial"/>
          <w:sz w:val="24"/>
          <w:szCs w:val="24"/>
        </w:rPr>
        <w:t>a la Secretaría</w:t>
      </w:r>
      <w:r w:rsidR="002B4D37" w:rsidRPr="001A4755">
        <w:rPr>
          <w:rFonts w:asciiTheme="minorHAnsi" w:hAnsiTheme="minorHAnsi" w:cs="Arial"/>
          <w:sz w:val="24"/>
          <w:szCs w:val="24"/>
        </w:rPr>
        <w:t xml:space="preserve"> del Foro a </w:t>
      </w:r>
      <w:r w:rsidRPr="001A4755">
        <w:rPr>
          <w:rFonts w:asciiTheme="minorHAnsi" w:hAnsiTheme="minorHAnsi" w:cs="Arial"/>
          <w:sz w:val="24"/>
          <w:szCs w:val="24"/>
        </w:rPr>
        <w:t>apoy</w:t>
      </w:r>
      <w:r w:rsidR="002B4D37" w:rsidRPr="001A4755">
        <w:rPr>
          <w:rFonts w:asciiTheme="minorHAnsi" w:hAnsiTheme="minorHAnsi" w:cs="Arial"/>
          <w:sz w:val="24"/>
          <w:szCs w:val="24"/>
        </w:rPr>
        <w:t>ar</w:t>
      </w:r>
      <w:r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2B4D37" w:rsidRPr="001A4755">
        <w:rPr>
          <w:rFonts w:asciiTheme="minorHAnsi" w:hAnsiTheme="minorHAnsi" w:cs="Arial"/>
          <w:sz w:val="24"/>
          <w:szCs w:val="24"/>
        </w:rPr>
        <w:t xml:space="preserve">la constitución de </w:t>
      </w:r>
      <w:r w:rsidR="00C6647B" w:rsidRPr="001A4755">
        <w:rPr>
          <w:rFonts w:asciiTheme="minorHAnsi" w:hAnsiTheme="minorHAnsi" w:cs="Arial"/>
          <w:sz w:val="24"/>
          <w:szCs w:val="24"/>
        </w:rPr>
        <w:t>un grupo de trabajo</w:t>
      </w:r>
      <w:r w:rsidR="000F0EB5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3A593B" w:rsidRPr="001A4755">
        <w:rPr>
          <w:rFonts w:asciiTheme="minorHAnsi" w:hAnsiTheme="minorHAnsi" w:cs="Arial"/>
          <w:sz w:val="24"/>
          <w:szCs w:val="24"/>
        </w:rPr>
        <w:t xml:space="preserve">con el objetivo de elaborar un </w:t>
      </w:r>
      <w:r w:rsidR="00C6647B" w:rsidRPr="001A4755">
        <w:rPr>
          <w:rFonts w:asciiTheme="minorHAnsi" w:hAnsiTheme="minorHAnsi" w:cs="Arial"/>
          <w:sz w:val="24"/>
          <w:szCs w:val="24"/>
        </w:rPr>
        <w:t xml:space="preserve">plan de acción </w:t>
      </w:r>
      <w:r w:rsidR="00932830" w:rsidRPr="001A4755">
        <w:rPr>
          <w:rFonts w:asciiTheme="minorHAnsi" w:hAnsiTheme="minorHAnsi" w:cs="Arial"/>
          <w:sz w:val="24"/>
          <w:szCs w:val="24"/>
        </w:rPr>
        <w:t xml:space="preserve">regional </w:t>
      </w:r>
      <w:r w:rsidR="00C6647B" w:rsidRPr="001A4755">
        <w:rPr>
          <w:rFonts w:asciiTheme="minorHAnsi" w:hAnsiTheme="minorHAnsi" w:cs="Arial"/>
          <w:sz w:val="24"/>
          <w:szCs w:val="24"/>
        </w:rPr>
        <w:t xml:space="preserve">que </w:t>
      </w:r>
      <w:r w:rsidR="000F0EB5" w:rsidRPr="001A4755">
        <w:rPr>
          <w:rFonts w:asciiTheme="minorHAnsi" w:hAnsiTheme="minorHAnsi" w:cs="Arial"/>
          <w:sz w:val="24"/>
          <w:szCs w:val="24"/>
        </w:rPr>
        <w:t xml:space="preserve">identifique </w:t>
      </w:r>
      <w:r w:rsidR="00D75EB0" w:rsidRPr="001A4755">
        <w:rPr>
          <w:rFonts w:asciiTheme="minorHAnsi" w:hAnsiTheme="minorHAnsi" w:cs="Arial"/>
          <w:sz w:val="24"/>
          <w:szCs w:val="24"/>
        </w:rPr>
        <w:t>los asuntos de interés prioritario</w:t>
      </w:r>
      <w:r w:rsidR="002C3095" w:rsidRPr="001A4755">
        <w:rPr>
          <w:rFonts w:asciiTheme="minorHAnsi" w:hAnsiTheme="minorHAnsi" w:cs="Arial"/>
          <w:sz w:val="24"/>
          <w:szCs w:val="24"/>
        </w:rPr>
        <w:t>s</w:t>
      </w:r>
      <w:r w:rsidR="00D75EB0" w:rsidRPr="001A4755">
        <w:rPr>
          <w:rFonts w:asciiTheme="minorHAnsi" w:hAnsiTheme="minorHAnsi" w:cs="Arial"/>
          <w:sz w:val="24"/>
          <w:szCs w:val="24"/>
        </w:rPr>
        <w:t xml:space="preserve"> de los que se encargará la Red, incluyendo </w:t>
      </w:r>
      <w:r w:rsidR="00C6647B" w:rsidRPr="001A4755">
        <w:rPr>
          <w:rFonts w:asciiTheme="minorHAnsi" w:hAnsiTheme="minorHAnsi" w:cs="Arial"/>
          <w:sz w:val="24"/>
          <w:szCs w:val="24"/>
        </w:rPr>
        <w:t xml:space="preserve">las </w:t>
      </w:r>
      <w:r w:rsidR="000F0EB5" w:rsidRPr="001A4755">
        <w:rPr>
          <w:rFonts w:asciiTheme="minorHAnsi" w:hAnsiTheme="minorHAnsi" w:cs="Arial"/>
          <w:sz w:val="24"/>
          <w:szCs w:val="24"/>
        </w:rPr>
        <w:t>áreas para la creación de capacidades, asistencia técnica y transferencia tecnológica, según proceda</w:t>
      </w:r>
      <w:r w:rsidR="00C6647B" w:rsidRPr="001A4755">
        <w:rPr>
          <w:rFonts w:asciiTheme="minorHAnsi" w:hAnsiTheme="minorHAnsi" w:cs="Arial"/>
          <w:sz w:val="24"/>
          <w:szCs w:val="24"/>
        </w:rPr>
        <w:t xml:space="preserve">, </w:t>
      </w:r>
      <w:r w:rsidR="0020083C" w:rsidRPr="001A4755">
        <w:rPr>
          <w:rFonts w:asciiTheme="minorHAnsi" w:hAnsiTheme="minorHAnsi" w:cs="Arial"/>
          <w:sz w:val="24"/>
          <w:szCs w:val="24"/>
        </w:rPr>
        <w:t>así como los enfoques estratégicos,</w:t>
      </w:r>
      <w:r w:rsidR="00AB7E58" w:rsidRPr="001A4755">
        <w:rPr>
          <w:rFonts w:asciiTheme="minorHAnsi" w:hAnsiTheme="minorHAnsi" w:cs="Arial"/>
          <w:b/>
          <w:sz w:val="24"/>
          <w:szCs w:val="24"/>
        </w:rPr>
        <w:t xml:space="preserve"> </w:t>
      </w:r>
      <w:r w:rsidR="00932830" w:rsidRPr="001A4755">
        <w:rPr>
          <w:rFonts w:asciiTheme="minorHAnsi" w:hAnsiTheme="minorHAnsi" w:cs="Arial"/>
          <w:sz w:val="24"/>
          <w:szCs w:val="24"/>
        </w:rPr>
        <w:t xml:space="preserve">para su consideración en la </w:t>
      </w:r>
      <w:r w:rsidR="000F0EB5" w:rsidRPr="001A4755">
        <w:rPr>
          <w:rFonts w:asciiTheme="minorHAnsi" w:hAnsiTheme="minorHAnsi" w:cs="Arial"/>
          <w:sz w:val="24"/>
          <w:szCs w:val="24"/>
        </w:rPr>
        <w:t xml:space="preserve">XXI </w:t>
      </w:r>
      <w:r w:rsidR="00932830" w:rsidRPr="001A4755">
        <w:rPr>
          <w:rFonts w:asciiTheme="minorHAnsi" w:hAnsiTheme="minorHAnsi" w:cs="Arial"/>
          <w:sz w:val="24"/>
          <w:szCs w:val="24"/>
        </w:rPr>
        <w:t xml:space="preserve">reunión del Foro de Ministros de Medio Ambiente de América Latina y el Caribe. </w:t>
      </w:r>
    </w:p>
    <w:p w14:paraId="1B4D2612" w14:textId="77777777" w:rsidR="00A24093" w:rsidRPr="001A4755" w:rsidRDefault="00A24093" w:rsidP="00A24093">
      <w:pPr>
        <w:pStyle w:val="Prrafodelista"/>
        <w:rPr>
          <w:rFonts w:asciiTheme="minorHAnsi" w:hAnsiTheme="minorHAnsi" w:cs="Arial"/>
          <w:sz w:val="24"/>
          <w:szCs w:val="24"/>
        </w:rPr>
      </w:pPr>
    </w:p>
    <w:p w14:paraId="79BA4518" w14:textId="084B3C03" w:rsidR="00EF4F59" w:rsidRPr="001A4755" w:rsidRDefault="00A24093" w:rsidP="00A24093">
      <w:pPr>
        <w:pStyle w:val="Prrafodelista"/>
        <w:numPr>
          <w:ilvl w:val="0"/>
          <w:numId w:val="5"/>
        </w:numPr>
        <w:spacing w:before="0"/>
        <w:rPr>
          <w:rFonts w:asciiTheme="minorHAnsi" w:hAnsiTheme="minorHAnsi" w:cs="Arial"/>
          <w:b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Promover</w:t>
      </w:r>
      <w:r w:rsidRPr="001A4755">
        <w:rPr>
          <w:rFonts w:asciiTheme="minorHAnsi" w:hAnsiTheme="minorHAnsi" w:cs="Arial"/>
          <w:sz w:val="24"/>
          <w:szCs w:val="24"/>
        </w:rPr>
        <w:t>, con el apoyo del Comité Técnico Interagencial</w:t>
      </w:r>
      <w:r w:rsidR="00A62E7A" w:rsidRPr="001A4755">
        <w:rPr>
          <w:rFonts w:asciiTheme="minorHAnsi" w:hAnsiTheme="minorHAnsi" w:cs="Arial"/>
          <w:sz w:val="24"/>
          <w:szCs w:val="24"/>
        </w:rPr>
        <w:t xml:space="preserve"> y de la Secretaría</w:t>
      </w:r>
      <w:r w:rsidR="00A307AF" w:rsidRPr="001A4755">
        <w:rPr>
          <w:rFonts w:asciiTheme="minorHAnsi" w:hAnsiTheme="minorHAnsi" w:cs="Arial"/>
          <w:sz w:val="24"/>
          <w:szCs w:val="24"/>
        </w:rPr>
        <w:t>, acciones</w:t>
      </w:r>
      <w:r w:rsidRPr="001A4755">
        <w:rPr>
          <w:rFonts w:asciiTheme="minorHAnsi" w:hAnsiTheme="minorHAnsi" w:cs="Arial"/>
          <w:sz w:val="24"/>
          <w:szCs w:val="24"/>
        </w:rPr>
        <w:t xml:space="preserve"> iniciales </w:t>
      </w:r>
      <w:r w:rsidR="00A62E7A" w:rsidRPr="001A4755">
        <w:rPr>
          <w:rFonts w:asciiTheme="minorHAnsi" w:hAnsiTheme="minorHAnsi" w:cs="Arial"/>
          <w:sz w:val="24"/>
          <w:szCs w:val="24"/>
        </w:rPr>
        <w:t xml:space="preserve">para facilitar el </w:t>
      </w:r>
      <w:r w:rsidRPr="001A4755">
        <w:rPr>
          <w:rFonts w:asciiTheme="minorHAnsi" w:hAnsiTheme="minorHAnsi" w:cs="Arial"/>
          <w:sz w:val="24"/>
          <w:szCs w:val="24"/>
        </w:rPr>
        <w:t>intercambio de información</w:t>
      </w:r>
      <w:r w:rsidR="00A62E7A" w:rsidRPr="001A4755">
        <w:rPr>
          <w:rFonts w:asciiTheme="minorHAnsi" w:hAnsiTheme="minorHAnsi" w:cs="Arial"/>
          <w:sz w:val="24"/>
          <w:szCs w:val="24"/>
        </w:rPr>
        <w:t>,</w:t>
      </w:r>
      <w:r w:rsidRPr="001A4755">
        <w:rPr>
          <w:rFonts w:asciiTheme="minorHAnsi" w:hAnsiTheme="minorHAnsi" w:cs="Arial"/>
          <w:sz w:val="24"/>
          <w:szCs w:val="24"/>
        </w:rPr>
        <w:t xml:space="preserve"> experiencias</w:t>
      </w:r>
      <w:r w:rsidR="00A62E7A" w:rsidRPr="001A4755">
        <w:rPr>
          <w:rFonts w:asciiTheme="minorHAnsi" w:hAnsiTheme="minorHAnsi" w:cs="Arial"/>
          <w:sz w:val="24"/>
          <w:szCs w:val="24"/>
        </w:rPr>
        <w:t xml:space="preserve"> y cuando proceda, conocimiento,</w:t>
      </w:r>
      <w:r w:rsidRPr="001A4755">
        <w:rPr>
          <w:rFonts w:asciiTheme="minorHAnsi" w:hAnsiTheme="minorHAnsi" w:cs="Arial"/>
          <w:sz w:val="24"/>
          <w:szCs w:val="24"/>
        </w:rPr>
        <w:t xml:space="preserve"> entre los puntos focales de la red.</w:t>
      </w:r>
    </w:p>
    <w:p w14:paraId="79F9B1A3" w14:textId="77777777" w:rsidR="00EF4F59" w:rsidRPr="001A4755" w:rsidRDefault="00EF4F59" w:rsidP="0025254B">
      <w:pPr>
        <w:pStyle w:val="Prrafodelista"/>
        <w:rPr>
          <w:rFonts w:asciiTheme="minorHAnsi" w:hAnsiTheme="minorHAnsi" w:cs="Arial"/>
          <w:sz w:val="24"/>
          <w:szCs w:val="24"/>
        </w:rPr>
      </w:pPr>
    </w:p>
    <w:p w14:paraId="1B9E8D8C" w14:textId="77777777" w:rsidR="00A7145C" w:rsidRPr="001A4755" w:rsidRDefault="00D92BA3" w:rsidP="00D35319">
      <w:pPr>
        <w:spacing w:before="0"/>
        <w:rPr>
          <w:rFonts w:asciiTheme="minorHAnsi" w:hAnsiTheme="minorHAnsi" w:cs="Arial"/>
          <w:b/>
          <w:i/>
          <w:sz w:val="24"/>
          <w:szCs w:val="24"/>
        </w:rPr>
      </w:pPr>
      <w:r w:rsidRPr="001A4755">
        <w:rPr>
          <w:rFonts w:asciiTheme="minorHAnsi" w:hAnsiTheme="minorHAnsi" w:cs="Arial"/>
          <w:b/>
          <w:i/>
          <w:sz w:val="24"/>
          <w:szCs w:val="24"/>
        </w:rPr>
        <w:t>Enfoque Estratégico para la Gestión de Productos Químicos a Nivel Internacional (SAICM)</w:t>
      </w:r>
    </w:p>
    <w:p w14:paraId="688BCDA5" w14:textId="77777777" w:rsidR="007C0A3D" w:rsidRPr="001A4755" w:rsidRDefault="007C0A3D" w:rsidP="00D35319">
      <w:pPr>
        <w:spacing w:before="0"/>
        <w:rPr>
          <w:rFonts w:asciiTheme="minorHAnsi" w:hAnsiTheme="minorHAnsi" w:cs="Arial"/>
          <w:b/>
          <w:sz w:val="24"/>
          <w:szCs w:val="24"/>
        </w:rPr>
      </w:pPr>
    </w:p>
    <w:p w14:paraId="66F35D96" w14:textId="06BEB5CA" w:rsidR="007C326B" w:rsidRPr="001A4755" w:rsidRDefault="007C326B" w:rsidP="00D35319">
      <w:p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Reconociendo</w:t>
      </w:r>
      <w:r w:rsidRPr="001A4755">
        <w:rPr>
          <w:rFonts w:asciiTheme="minorHAnsi" w:hAnsiTheme="minorHAnsi" w:cs="Arial"/>
          <w:sz w:val="24"/>
          <w:szCs w:val="24"/>
        </w:rPr>
        <w:t xml:space="preserve"> que la gestión</w:t>
      </w:r>
      <w:r w:rsidR="00907910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425A45" w:rsidRPr="001A4755">
        <w:rPr>
          <w:rFonts w:asciiTheme="minorHAnsi" w:hAnsiTheme="minorHAnsi" w:cs="Arial"/>
          <w:sz w:val="24"/>
          <w:szCs w:val="24"/>
        </w:rPr>
        <w:t>ambientalmente</w:t>
      </w:r>
      <w:r w:rsidRPr="001A4755">
        <w:rPr>
          <w:rFonts w:asciiTheme="minorHAnsi" w:hAnsiTheme="minorHAnsi" w:cs="Arial"/>
          <w:sz w:val="24"/>
          <w:szCs w:val="24"/>
        </w:rPr>
        <w:t xml:space="preserve"> racional de los productos químicos y los </w:t>
      </w:r>
      <w:r w:rsidR="007F7C08" w:rsidRPr="001A4755">
        <w:rPr>
          <w:rFonts w:asciiTheme="minorHAnsi" w:hAnsiTheme="minorHAnsi" w:cs="Arial"/>
          <w:sz w:val="24"/>
          <w:szCs w:val="24"/>
        </w:rPr>
        <w:t>desecho</w:t>
      </w:r>
      <w:r w:rsidRPr="001A4755">
        <w:rPr>
          <w:rFonts w:asciiTheme="minorHAnsi" w:hAnsiTheme="minorHAnsi" w:cs="Arial"/>
          <w:sz w:val="24"/>
          <w:szCs w:val="24"/>
        </w:rPr>
        <w:t xml:space="preserve">s constituye uno de los requisitos </w:t>
      </w:r>
      <w:r w:rsidR="00D101F5" w:rsidRPr="001A4755">
        <w:rPr>
          <w:rFonts w:asciiTheme="minorHAnsi" w:hAnsiTheme="minorHAnsi" w:cs="Arial"/>
          <w:sz w:val="24"/>
          <w:szCs w:val="24"/>
        </w:rPr>
        <w:t xml:space="preserve"> </w:t>
      </w:r>
      <w:r w:rsidRPr="001A4755">
        <w:rPr>
          <w:rFonts w:asciiTheme="minorHAnsi" w:hAnsiTheme="minorHAnsi" w:cs="Arial"/>
          <w:sz w:val="24"/>
          <w:szCs w:val="24"/>
        </w:rPr>
        <w:t xml:space="preserve">para el desarrollo sostenible y que la Agenda </w:t>
      </w:r>
      <w:r w:rsidRPr="001A4755">
        <w:rPr>
          <w:rFonts w:asciiTheme="minorHAnsi" w:hAnsiTheme="minorHAnsi" w:cs="Arial"/>
          <w:sz w:val="24"/>
          <w:szCs w:val="24"/>
        </w:rPr>
        <w:lastRenderedPageBreak/>
        <w:t xml:space="preserve">2030 </w:t>
      </w:r>
      <w:r w:rsidR="00A65294" w:rsidRPr="001A4755">
        <w:rPr>
          <w:rFonts w:asciiTheme="minorHAnsi" w:hAnsiTheme="minorHAnsi" w:cs="Arial"/>
          <w:sz w:val="24"/>
          <w:szCs w:val="24"/>
        </w:rPr>
        <w:t xml:space="preserve">para el Desarrollo Sostenible </w:t>
      </w:r>
      <w:r w:rsidRPr="001A4755">
        <w:rPr>
          <w:rFonts w:asciiTheme="minorHAnsi" w:hAnsiTheme="minorHAnsi" w:cs="Arial"/>
          <w:sz w:val="24"/>
          <w:szCs w:val="24"/>
        </w:rPr>
        <w:t>presenta una oportunidad para asegurar una mayor atención política y aplicación eficaz de acciones en esta área;</w:t>
      </w:r>
    </w:p>
    <w:p w14:paraId="215A1F6E" w14:textId="77777777" w:rsidR="007C326B" w:rsidRPr="001A4755" w:rsidRDefault="007C326B" w:rsidP="00D35319">
      <w:pPr>
        <w:spacing w:before="0"/>
        <w:rPr>
          <w:rFonts w:asciiTheme="minorHAnsi" w:hAnsiTheme="minorHAnsi" w:cs="Arial"/>
          <w:sz w:val="24"/>
          <w:szCs w:val="24"/>
        </w:rPr>
      </w:pPr>
    </w:p>
    <w:p w14:paraId="197493EF" w14:textId="7152DD17" w:rsidR="007C326B" w:rsidRPr="001A4755" w:rsidRDefault="00166587" w:rsidP="003B167F">
      <w:p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 xml:space="preserve">Recordando </w:t>
      </w:r>
      <w:r w:rsidR="007C326B" w:rsidRPr="001A4755">
        <w:rPr>
          <w:rFonts w:asciiTheme="minorHAnsi" w:hAnsiTheme="minorHAnsi" w:cs="Arial"/>
          <w:sz w:val="24"/>
          <w:szCs w:val="24"/>
        </w:rPr>
        <w:t xml:space="preserve">que la meta </w:t>
      </w:r>
      <w:r w:rsidR="003B167F" w:rsidRPr="001A4755">
        <w:rPr>
          <w:rFonts w:asciiTheme="minorHAnsi" w:hAnsiTheme="minorHAnsi" w:cs="Arial"/>
          <w:sz w:val="24"/>
          <w:szCs w:val="24"/>
        </w:rPr>
        <w:t xml:space="preserve">de lograr para el 2020 una gestión </w:t>
      </w:r>
      <w:r w:rsidR="00E056A1" w:rsidRPr="001A4755">
        <w:rPr>
          <w:rFonts w:asciiTheme="minorHAnsi" w:hAnsiTheme="minorHAnsi" w:cs="Arial"/>
          <w:sz w:val="24"/>
          <w:szCs w:val="24"/>
        </w:rPr>
        <w:t>ambientalmente</w:t>
      </w:r>
      <w:r w:rsidR="00907910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3B167F" w:rsidRPr="001A4755">
        <w:rPr>
          <w:rFonts w:asciiTheme="minorHAnsi" w:hAnsiTheme="minorHAnsi" w:cs="Arial"/>
          <w:sz w:val="24"/>
          <w:szCs w:val="24"/>
        </w:rPr>
        <w:t xml:space="preserve">racional de los productos químicos y </w:t>
      </w:r>
      <w:r w:rsidRPr="001A4755">
        <w:rPr>
          <w:rFonts w:asciiTheme="minorHAnsi" w:hAnsiTheme="minorHAnsi" w:cs="Arial"/>
          <w:sz w:val="24"/>
          <w:szCs w:val="24"/>
        </w:rPr>
        <w:t xml:space="preserve">de todos </w:t>
      </w:r>
      <w:r w:rsidR="003B167F" w:rsidRPr="001A4755">
        <w:rPr>
          <w:rFonts w:asciiTheme="minorHAnsi" w:hAnsiTheme="minorHAnsi" w:cs="Arial"/>
          <w:sz w:val="24"/>
          <w:szCs w:val="24"/>
        </w:rPr>
        <w:t xml:space="preserve">los </w:t>
      </w:r>
      <w:r w:rsidR="004A2D1F" w:rsidRPr="001A4755">
        <w:rPr>
          <w:rFonts w:asciiTheme="minorHAnsi" w:hAnsiTheme="minorHAnsi" w:cs="Arial"/>
          <w:sz w:val="24"/>
          <w:szCs w:val="24"/>
        </w:rPr>
        <w:t>desecho</w:t>
      </w:r>
      <w:r w:rsidR="003B167F" w:rsidRPr="001A4755">
        <w:rPr>
          <w:rFonts w:asciiTheme="minorHAnsi" w:hAnsiTheme="minorHAnsi" w:cs="Arial"/>
          <w:sz w:val="24"/>
          <w:szCs w:val="24"/>
        </w:rPr>
        <w:t>s</w:t>
      </w:r>
      <w:r w:rsidRPr="001A4755">
        <w:rPr>
          <w:rFonts w:asciiTheme="minorHAnsi" w:hAnsiTheme="minorHAnsi" w:cs="Arial"/>
          <w:sz w:val="24"/>
          <w:szCs w:val="24"/>
        </w:rPr>
        <w:t xml:space="preserve"> a lo largo de su ciclo de vida</w:t>
      </w:r>
      <w:r w:rsidR="007C326B" w:rsidRPr="001A4755">
        <w:rPr>
          <w:rFonts w:asciiTheme="minorHAnsi" w:hAnsiTheme="minorHAnsi" w:cs="Arial"/>
          <w:sz w:val="24"/>
          <w:szCs w:val="24"/>
        </w:rPr>
        <w:t xml:space="preserve">, reflejada en el documento </w:t>
      </w:r>
      <w:r w:rsidR="003B167F" w:rsidRPr="001A4755">
        <w:rPr>
          <w:rFonts w:asciiTheme="minorHAnsi" w:hAnsiTheme="minorHAnsi" w:cs="Arial"/>
          <w:sz w:val="24"/>
          <w:szCs w:val="24"/>
        </w:rPr>
        <w:t>“El futuro que queremos” de Rio+20,</w:t>
      </w:r>
      <w:r w:rsidR="007C326B" w:rsidRPr="001A4755">
        <w:rPr>
          <w:rFonts w:asciiTheme="minorHAnsi" w:hAnsiTheme="minorHAnsi" w:cs="Arial"/>
          <w:sz w:val="24"/>
          <w:szCs w:val="24"/>
        </w:rPr>
        <w:t xml:space="preserve"> </w:t>
      </w:r>
      <w:r w:rsidRPr="001A4755">
        <w:rPr>
          <w:rFonts w:asciiTheme="minorHAnsi" w:hAnsiTheme="minorHAnsi" w:cs="Arial"/>
          <w:sz w:val="24"/>
          <w:szCs w:val="24"/>
        </w:rPr>
        <w:t xml:space="preserve">e integrada </w:t>
      </w:r>
      <w:r w:rsidR="003B167F" w:rsidRPr="001A4755">
        <w:rPr>
          <w:rFonts w:asciiTheme="minorHAnsi" w:hAnsiTheme="minorHAnsi" w:cs="Arial"/>
          <w:sz w:val="24"/>
          <w:szCs w:val="24"/>
        </w:rPr>
        <w:t xml:space="preserve">en la Agenda 2030 </w:t>
      </w:r>
      <w:r w:rsidRPr="001A4755">
        <w:rPr>
          <w:rFonts w:asciiTheme="minorHAnsi" w:hAnsiTheme="minorHAnsi" w:cs="Arial"/>
          <w:sz w:val="24"/>
          <w:szCs w:val="24"/>
        </w:rPr>
        <w:t>para el Desarrollo Sostenible</w:t>
      </w:r>
      <w:r w:rsidR="00E056A1" w:rsidRPr="001A4755">
        <w:rPr>
          <w:rFonts w:asciiTheme="minorHAnsi" w:hAnsiTheme="minorHAnsi" w:cs="Arial"/>
          <w:sz w:val="24"/>
          <w:szCs w:val="24"/>
        </w:rPr>
        <w:t xml:space="preserve"> </w:t>
      </w:r>
      <w:r w:rsidRPr="001A4755">
        <w:rPr>
          <w:rFonts w:asciiTheme="minorHAnsi" w:hAnsiTheme="minorHAnsi" w:cs="Arial"/>
          <w:sz w:val="24"/>
          <w:szCs w:val="24"/>
        </w:rPr>
        <w:t xml:space="preserve">y </w:t>
      </w:r>
      <w:r w:rsidR="003B167F" w:rsidRPr="001A4755">
        <w:rPr>
          <w:rFonts w:asciiTheme="minorHAnsi" w:hAnsiTheme="minorHAnsi" w:cs="Arial"/>
          <w:sz w:val="24"/>
          <w:szCs w:val="24"/>
        </w:rPr>
        <w:t>en la actualización de la Iniciativa Latinoamericana y Caribeña para el Desarrollo Sostenible (ILAC)</w:t>
      </w:r>
      <w:r w:rsidR="00805A8F" w:rsidRPr="001A4755">
        <w:rPr>
          <w:rFonts w:asciiTheme="minorHAnsi" w:hAnsiTheme="minorHAnsi" w:cs="Arial"/>
          <w:sz w:val="24"/>
          <w:szCs w:val="24"/>
        </w:rPr>
        <w:t>, y está en sintonía con la Declaración de Belé</w:t>
      </w:r>
      <w:r w:rsidR="00D1428D" w:rsidRPr="001A4755">
        <w:rPr>
          <w:rFonts w:asciiTheme="minorHAnsi" w:hAnsiTheme="minorHAnsi" w:cs="Arial"/>
          <w:sz w:val="24"/>
          <w:szCs w:val="24"/>
        </w:rPr>
        <w:t>n de la CELAC</w:t>
      </w:r>
      <w:r w:rsidR="00805A8F" w:rsidRPr="001A4755">
        <w:rPr>
          <w:rFonts w:asciiTheme="minorHAnsi" w:hAnsiTheme="minorHAnsi" w:cs="Arial"/>
          <w:sz w:val="24"/>
          <w:szCs w:val="24"/>
        </w:rPr>
        <w:t xml:space="preserve"> de</w:t>
      </w:r>
      <w:r w:rsidR="00D1428D" w:rsidRPr="001A4755">
        <w:rPr>
          <w:rFonts w:asciiTheme="minorHAnsi" w:hAnsiTheme="minorHAnsi" w:cs="Arial"/>
          <w:sz w:val="24"/>
          <w:szCs w:val="24"/>
        </w:rPr>
        <w:t xml:space="preserve"> Enero 2015</w:t>
      </w:r>
      <w:r w:rsidR="00805A8F" w:rsidRPr="001A4755">
        <w:rPr>
          <w:rFonts w:asciiTheme="minorHAnsi" w:hAnsiTheme="minorHAnsi" w:cs="Arial"/>
          <w:sz w:val="24"/>
          <w:szCs w:val="24"/>
        </w:rPr>
        <w:t>;</w:t>
      </w:r>
      <w:r w:rsidR="00D1428D" w:rsidRPr="001A4755">
        <w:rPr>
          <w:rFonts w:asciiTheme="minorHAnsi" w:hAnsiTheme="minorHAnsi" w:cs="Arial"/>
          <w:sz w:val="24"/>
          <w:szCs w:val="24"/>
        </w:rPr>
        <w:t xml:space="preserve"> </w:t>
      </w:r>
    </w:p>
    <w:p w14:paraId="285BEA8D" w14:textId="77777777" w:rsidR="003B167F" w:rsidRPr="001A4755" w:rsidRDefault="003B167F" w:rsidP="00D35319">
      <w:pPr>
        <w:spacing w:before="0"/>
        <w:rPr>
          <w:rFonts w:asciiTheme="minorHAnsi" w:hAnsiTheme="minorHAnsi" w:cs="Arial"/>
          <w:sz w:val="24"/>
          <w:szCs w:val="24"/>
        </w:rPr>
      </w:pPr>
    </w:p>
    <w:p w14:paraId="6941FBF0" w14:textId="66AFFA59" w:rsidR="00A60429" w:rsidRPr="001A4755" w:rsidRDefault="00A60429" w:rsidP="00D35319">
      <w:p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 xml:space="preserve">Celebrando </w:t>
      </w:r>
      <w:r w:rsidR="002F3D21" w:rsidRPr="001A4755">
        <w:rPr>
          <w:rFonts w:asciiTheme="minorHAnsi" w:hAnsiTheme="minorHAnsi" w:cs="Arial"/>
          <w:sz w:val="24"/>
          <w:szCs w:val="24"/>
        </w:rPr>
        <w:t xml:space="preserve">la tarea desarrollada </w:t>
      </w:r>
      <w:r w:rsidR="00C22204" w:rsidRPr="001A4755">
        <w:rPr>
          <w:rFonts w:asciiTheme="minorHAnsi" w:hAnsiTheme="minorHAnsi" w:cs="Arial"/>
          <w:sz w:val="24"/>
          <w:szCs w:val="24"/>
        </w:rPr>
        <w:t xml:space="preserve">durante la Cuarta Conferencia Internacional sobre Gestión de Productos Químicos, incluyendo la </w:t>
      </w:r>
      <w:r w:rsidR="002F3D21" w:rsidRPr="001A4755">
        <w:rPr>
          <w:rFonts w:asciiTheme="minorHAnsi" w:hAnsiTheme="minorHAnsi" w:cs="Arial"/>
          <w:sz w:val="24"/>
          <w:szCs w:val="24"/>
        </w:rPr>
        <w:t xml:space="preserve">elaboración </w:t>
      </w:r>
      <w:r w:rsidR="00C22204" w:rsidRPr="001A4755">
        <w:rPr>
          <w:rFonts w:asciiTheme="minorHAnsi" w:hAnsiTheme="minorHAnsi" w:cs="Arial"/>
          <w:sz w:val="24"/>
          <w:szCs w:val="24"/>
        </w:rPr>
        <w:t xml:space="preserve">de la Orientación y Directrices Generales para la consecución de la meta de 2020, así como </w:t>
      </w:r>
      <w:r w:rsidRPr="001A4755">
        <w:rPr>
          <w:rFonts w:asciiTheme="minorHAnsi" w:hAnsiTheme="minorHAnsi" w:cs="Arial"/>
          <w:sz w:val="24"/>
          <w:szCs w:val="24"/>
        </w:rPr>
        <w:t xml:space="preserve">el establecimiento de un proceso entre sesiones para </w:t>
      </w:r>
      <w:r w:rsidR="00166587" w:rsidRPr="001A4755">
        <w:rPr>
          <w:rFonts w:asciiTheme="minorHAnsi" w:hAnsiTheme="minorHAnsi" w:cs="Arial"/>
          <w:sz w:val="24"/>
          <w:szCs w:val="24"/>
        </w:rPr>
        <w:t xml:space="preserve">seguir desarrollando </w:t>
      </w:r>
      <w:r w:rsidR="00C22204" w:rsidRPr="001A4755">
        <w:rPr>
          <w:rFonts w:asciiTheme="minorHAnsi" w:hAnsiTheme="minorHAnsi" w:cs="Arial"/>
          <w:sz w:val="24"/>
          <w:szCs w:val="24"/>
        </w:rPr>
        <w:t>el Enfoque Estratégico y la gestión r</w:t>
      </w:r>
      <w:r w:rsidRPr="001A4755">
        <w:rPr>
          <w:rFonts w:asciiTheme="minorHAnsi" w:hAnsiTheme="minorHAnsi" w:cs="Arial"/>
          <w:sz w:val="24"/>
          <w:szCs w:val="24"/>
        </w:rPr>
        <w:t xml:space="preserve">acional de los productos químicos </w:t>
      </w:r>
      <w:r w:rsidR="00C22204" w:rsidRPr="001A4755">
        <w:rPr>
          <w:rFonts w:asciiTheme="minorHAnsi" w:hAnsiTheme="minorHAnsi" w:cs="Arial"/>
          <w:sz w:val="24"/>
          <w:szCs w:val="24"/>
        </w:rPr>
        <w:t>después</w:t>
      </w:r>
      <w:r w:rsidRPr="001A4755">
        <w:rPr>
          <w:rFonts w:asciiTheme="minorHAnsi" w:hAnsiTheme="minorHAnsi" w:cs="Arial"/>
          <w:sz w:val="24"/>
          <w:szCs w:val="24"/>
        </w:rPr>
        <w:t xml:space="preserve"> de 2020</w:t>
      </w:r>
      <w:r w:rsidR="00C22204" w:rsidRPr="001A4755">
        <w:rPr>
          <w:rFonts w:asciiTheme="minorHAnsi" w:hAnsiTheme="minorHAnsi" w:cs="Arial"/>
          <w:sz w:val="24"/>
          <w:szCs w:val="24"/>
        </w:rPr>
        <w:t>;</w:t>
      </w:r>
    </w:p>
    <w:p w14:paraId="236B026D" w14:textId="77777777" w:rsidR="00A7352D" w:rsidRPr="001A4755" w:rsidRDefault="00A7352D" w:rsidP="00D35319">
      <w:pPr>
        <w:spacing w:before="0"/>
        <w:rPr>
          <w:rFonts w:asciiTheme="minorHAnsi" w:hAnsiTheme="minorHAnsi" w:cs="Arial"/>
          <w:b/>
          <w:sz w:val="24"/>
          <w:szCs w:val="24"/>
        </w:rPr>
      </w:pPr>
    </w:p>
    <w:p w14:paraId="5B48DA13" w14:textId="1C9B5322" w:rsidR="00FE5C35" w:rsidRPr="001A4755" w:rsidRDefault="00FE5C35" w:rsidP="00FE5C35">
      <w:pPr>
        <w:spacing w:before="0"/>
        <w:jc w:val="center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Decide</w:t>
      </w:r>
      <w:r w:rsidR="00076E38" w:rsidRPr="001A4755">
        <w:rPr>
          <w:rFonts w:asciiTheme="minorHAnsi" w:hAnsiTheme="minorHAnsi" w:cs="Arial"/>
          <w:b/>
          <w:sz w:val="24"/>
          <w:szCs w:val="24"/>
        </w:rPr>
        <w:t>n</w:t>
      </w:r>
    </w:p>
    <w:p w14:paraId="14E2F9E0" w14:textId="77777777" w:rsidR="00094668" w:rsidRPr="001A4755" w:rsidRDefault="00094668" w:rsidP="00D35319">
      <w:pPr>
        <w:spacing w:before="0"/>
        <w:rPr>
          <w:rFonts w:asciiTheme="minorHAnsi" w:hAnsiTheme="minorHAnsi" w:cs="Arial"/>
          <w:sz w:val="24"/>
          <w:szCs w:val="24"/>
        </w:rPr>
      </w:pPr>
    </w:p>
    <w:p w14:paraId="6298BA39" w14:textId="2BF28B40" w:rsidR="0077608D" w:rsidRPr="001A4755" w:rsidRDefault="0077608D" w:rsidP="001A4755">
      <w:pPr>
        <w:pStyle w:val="Prrafodelista"/>
        <w:numPr>
          <w:ilvl w:val="0"/>
          <w:numId w:val="6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Reiterar</w:t>
      </w:r>
      <w:r w:rsidRPr="001A4755">
        <w:rPr>
          <w:rFonts w:asciiTheme="minorHAnsi" w:hAnsiTheme="minorHAnsi" w:cs="Arial"/>
          <w:sz w:val="24"/>
          <w:szCs w:val="24"/>
        </w:rPr>
        <w:t xml:space="preserve"> el compromiso de los países de la región para realizar acciones conjuntas y concretas orientadas </w:t>
      </w:r>
      <w:r w:rsidR="00C12F8B" w:rsidRPr="001A4755">
        <w:rPr>
          <w:rFonts w:asciiTheme="minorHAnsi" w:hAnsiTheme="minorHAnsi" w:cs="Arial"/>
          <w:sz w:val="24"/>
          <w:szCs w:val="24"/>
        </w:rPr>
        <w:t>a la</w:t>
      </w:r>
      <w:r w:rsidRPr="001A4755">
        <w:rPr>
          <w:rFonts w:asciiTheme="minorHAnsi" w:hAnsiTheme="minorHAnsi" w:cs="Arial"/>
          <w:sz w:val="24"/>
          <w:szCs w:val="24"/>
        </w:rPr>
        <w:t xml:space="preserve"> gestión </w:t>
      </w:r>
      <w:r w:rsidR="00724368" w:rsidRPr="001A4755">
        <w:rPr>
          <w:rFonts w:asciiTheme="minorHAnsi" w:hAnsiTheme="minorHAnsi" w:cs="Arial"/>
          <w:sz w:val="24"/>
          <w:szCs w:val="24"/>
        </w:rPr>
        <w:t>ambientalmente</w:t>
      </w:r>
      <w:r w:rsidR="00907910" w:rsidRPr="001A4755">
        <w:rPr>
          <w:rFonts w:asciiTheme="minorHAnsi" w:hAnsiTheme="minorHAnsi" w:cs="Arial"/>
          <w:sz w:val="24"/>
          <w:szCs w:val="24"/>
        </w:rPr>
        <w:t xml:space="preserve"> </w:t>
      </w:r>
      <w:r w:rsidRPr="001A4755">
        <w:rPr>
          <w:rFonts w:asciiTheme="minorHAnsi" w:hAnsiTheme="minorHAnsi" w:cs="Arial"/>
          <w:sz w:val="24"/>
          <w:szCs w:val="24"/>
        </w:rPr>
        <w:t>racional de las sustancias químicas</w:t>
      </w:r>
      <w:r w:rsidR="00665F20" w:rsidRPr="001A4755">
        <w:rPr>
          <w:rFonts w:asciiTheme="minorHAnsi" w:hAnsiTheme="minorHAnsi" w:cs="Arial"/>
          <w:sz w:val="24"/>
          <w:szCs w:val="24"/>
        </w:rPr>
        <w:t>, fortaleciendo el diálogo y la participación institucional con todos los sectores interesados</w:t>
      </w:r>
      <w:r w:rsidRPr="001A4755">
        <w:rPr>
          <w:rFonts w:asciiTheme="minorHAnsi" w:hAnsiTheme="minorHAnsi" w:cs="Arial"/>
          <w:sz w:val="24"/>
          <w:szCs w:val="24"/>
        </w:rPr>
        <w:t xml:space="preserve">. </w:t>
      </w:r>
    </w:p>
    <w:p w14:paraId="7F05B5B4" w14:textId="77777777" w:rsidR="00CB212E" w:rsidRPr="001A4755" w:rsidRDefault="00CB212E" w:rsidP="001A4755">
      <w:pPr>
        <w:spacing w:before="0"/>
        <w:rPr>
          <w:rFonts w:asciiTheme="minorHAnsi" w:hAnsiTheme="minorHAnsi" w:cs="Arial"/>
          <w:sz w:val="24"/>
          <w:szCs w:val="24"/>
        </w:rPr>
      </w:pPr>
    </w:p>
    <w:p w14:paraId="182D1139" w14:textId="0117B712" w:rsidR="005633A4" w:rsidRPr="001A4755" w:rsidRDefault="005633A4" w:rsidP="001A4755">
      <w:pPr>
        <w:pStyle w:val="Prrafodelista"/>
        <w:numPr>
          <w:ilvl w:val="0"/>
          <w:numId w:val="6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Alentar</w:t>
      </w:r>
      <w:r w:rsidRPr="001A4755">
        <w:rPr>
          <w:rFonts w:asciiTheme="minorHAnsi" w:hAnsiTheme="minorHAnsi" w:cs="Arial"/>
          <w:sz w:val="24"/>
          <w:szCs w:val="24"/>
        </w:rPr>
        <w:t xml:space="preserve"> a los países a que pongan en marcha las seis esferas de actividad principales de la Orientación y Directrices Generales para la consecución de la meta de la gestión racional de los productos químicos para 2020.</w:t>
      </w:r>
    </w:p>
    <w:p w14:paraId="13FA7C7F" w14:textId="77777777" w:rsidR="0077608D" w:rsidRPr="001A4755" w:rsidRDefault="0077608D" w:rsidP="001A4755">
      <w:pPr>
        <w:spacing w:before="0"/>
        <w:rPr>
          <w:rFonts w:asciiTheme="minorHAnsi" w:hAnsiTheme="minorHAnsi" w:cs="Arial"/>
          <w:sz w:val="24"/>
          <w:szCs w:val="24"/>
        </w:rPr>
      </w:pPr>
    </w:p>
    <w:p w14:paraId="0B86BDE0" w14:textId="74C21BBE" w:rsidR="00C12F8B" w:rsidRPr="001A4755" w:rsidRDefault="00C12F8B" w:rsidP="001A4755">
      <w:pPr>
        <w:pStyle w:val="Prrafodelista"/>
        <w:numPr>
          <w:ilvl w:val="0"/>
          <w:numId w:val="6"/>
        </w:numPr>
        <w:spacing w:before="0"/>
        <w:ind w:left="360"/>
        <w:rPr>
          <w:rFonts w:asciiTheme="minorHAnsi" w:hAnsiTheme="minorHAnsi" w:cs="Arial"/>
          <w:b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 xml:space="preserve">Expresar </w:t>
      </w:r>
      <w:r w:rsidRPr="001A4755">
        <w:rPr>
          <w:rFonts w:asciiTheme="minorHAnsi" w:hAnsiTheme="minorHAnsi" w:cs="Arial"/>
          <w:sz w:val="24"/>
          <w:szCs w:val="24"/>
        </w:rPr>
        <w:t>igualmente</w:t>
      </w:r>
      <w:r w:rsidRPr="001A4755">
        <w:rPr>
          <w:rFonts w:asciiTheme="minorHAnsi" w:hAnsiTheme="minorHAnsi" w:cs="Arial"/>
          <w:b/>
          <w:sz w:val="24"/>
          <w:szCs w:val="24"/>
        </w:rPr>
        <w:t xml:space="preserve"> </w:t>
      </w:r>
      <w:r w:rsidR="002F3D21" w:rsidRPr="001A4755">
        <w:rPr>
          <w:rFonts w:asciiTheme="minorHAnsi" w:hAnsiTheme="minorHAnsi" w:cs="Arial"/>
          <w:sz w:val="24"/>
          <w:szCs w:val="24"/>
        </w:rPr>
        <w:t xml:space="preserve">la voluntad </w:t>
      </w:r>
      <w:r w:rsidRPr="001A4755">
        <w:rPr>
          <w:rFonts w:asciiTheme="minorHAnsi" w:hAnsiTheme="minorHAnsi" w:cs="Arial"/>
          <w:sz w:val="24"/>
          <w:szCs w:val="24"/>
        </w:rPr>
        <w:t xml:space="preserve">de los países en la </w:t>
      </w:r>
      <w:r w:rsidR="0020083C" w:rsidRPr="001A4755">
        <w:rPr>
          <w:rFonts w:asciiTheme="minorHAnsi" w:hAnsiTheme="minorHAnsi" w:cs="Arial"/>
          <w:sz w:val="24"/>
          <w:szCs w:val="24"/>
        </w:rPr>
        <w:t xml:space="preserve">aplicación de medidas para la </w:t>
      </w:r>
      <w:r w:rsidRPr="001A4755">
        <w:rPr>
          <w:rFonts w:asciiTheme="minorHAnsi" w:hAnsiTheme="minorHAnsi" w:cs="Arial"/>
          <w:sz w:val="24"/>
          <w:szCs w:val="24"/>
        </w:rPr>
        <w:t xml:space="preserve">reducción del riesgo asociado a las cuestiones normativas emergentes, como los plaguicidas altamente peligrosos, plomo en pinturas, sustancias químicas </w:t>
      </w:r>
      <w:r w:rsidR="00D40E9E" w:rsidRPr="001A4755">
        <w:rPr>
          <w:rFonts w:asciiTheme="minorHAnsi" w:hAnsiTheme="minorHAnsi" w:cs="Arial"/>
          <w:sz w:val="24"/>
          <w:szCs w:val="24"/>
        </w:rPr>
        <w:t xml:space="preserve">peligrosas </w:t>
      </w:r>
      <w:r w:rsidRPr="001A4755">
        <w:rPr>
          <w:rFonts w:asciiTheme="minorHAnsi" w:hAnsiTheme="minorHAnsi" w:cs="Arial"/>
          <w:sz w:val="24"/>
          <w:szCs w:val="24"/>
        </w:rPr>
        <w:t xml:space="preserve">en productos, sustancias toxicas en productos eléctricos y electrónicos,  contaminantes farmacéuticos ambientalmente persistentes, </w:t>
      </w:r>
      <w:r w:rsidR="00425A45" w:rsidRPr="001A4755">
        <w:rPr>
          <w:rFonts w:asciiTheme="minorHAnsi" w:hAnsiTheme="minorHAnsi" w:cs="Arial"/>
          <w:sz w:val="24"/>
          <w:szCs w:val="24"/>
        </w:rPr>
        <w:t>entre otr</w:t>
      </w:r>
      <w:r w:rsidR="00E70CF6" w:rsidRPr="001A4755">
        <w:rPr>
          <w:rFonts w:asciiTheme="minorHAnsi" w:hAnsiTheme="minorHAnsi" w:cs="Arial"/>
          <w:sz w:val="24"/>
          <w:szCs w:val="24"/>
        </w:rPr>
        <w:t>a</w:t>
      </w:r>
      <w:r w:rsidR="00425A45" w:rsidRPr="001A4755">
        <w:rPr>
          <w:rFonts w:asciiTheme="minorHAnsi" w:hAnsiTheme="minorHAnsi" w:cs="Arial"/>
          <w:sz w:val="24"/>
          <w:szCs w:val="24"/>
        </w:rPr>
        <w:t>s</w:t>
      </w:r>
      <w:r w:rsidRPr="001A4755">
        <w:rPr>
          <w:rFonts w:asciiTheme="minorHAnsi" w:hAnsiTheme="minorHAnsi" w:cs="Arial"/>
          <w:sz w:val="24"/>
          <w:szCs w:val="24"/>
        </w:rPr>
        <w:t>, en la medida de lo posible y de acuerdo a los compromisos nacionales e internacionales.</w:t>
      </w:r>
    </w:p>
    <w:p w14:paraId="4B2EF485" w14:textId="77777777" w:rsidR="00C12F8B" w:rsidRPr="001A4755" w:rsidRDefault="00C12F8B" w:rsidP="001A4755">
      <w:pPr>
        <w:pStyle w:val="Prrafodelista"/>
        <w:ind w:left="360"/>
        <w:rPr>
          <w:rFonts w:asciiTheme="minorHAnsi" w:hAnsiTheme="minorHAnsi" w:cs="Arial"/>
          <w:b/>
          <w:sz w:val="24"/>
          <w:szCs w:val="24"/>
        </w:rPr>
      </w:pPr>
    </w:p>
    <w:p w14:paraId="63676A5B" w14:textId="6493F99A" w:rsidR="007014CE" w:rsidRPr="001A4755" w:rsidRDefault="002332BC" w:rsidP="001A4755">
      <w:pPr>
        <w:pStyle w:val="Prrafodelista"/>
        <w:numPr>
          <w:ilvl w:val="0"/>
          <w:numId w:val="6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Reafirmar</w:t>
      </w:r>
      <w:r w:rsidRPr="001A4755">
        <w:rPr>
          <w:rFonts w:asciiTheme="minorHAnsi" w:hAnsiTheme="minorHAnsi" w:cs="Arial"/>
          <w:sz w:val="24"/>
          <w:szCs w:val="24"/>
        </w:rPr>
        <w:t xml:space="preserve"> la voluntad de </w:t>
      </w:r>
      <w:r w:rsidR="008B0B44" w:rsidRPr="001A4755">
        <w:rPr>
          <w:rFonts w:asciiTheme="minorHAnsi" w:hAnsiTheme="minorHAnsi" w:cs="Arial"/>
          <w:sz w:val="24"/>
          <w:szCs w:val="24"/>
        </w:rPr>
        <w:t xml:space="preserve">la región de </w:t>
      </w:r>
      <w:r w:rsidRPr="001A4755">
        <w:rPr>
          <w:rFonts w:asciiTheme="minorHAnsi" w:hAnsiTheme="minorHAnsi" w:cs="Arial"/>
          <w:sz w:val="24"/>
          <w:szCs w:val="24"/>
        </w:rPr>
        <w:t>participar</w:t>
      </w:r>
      <w:r w:rsidR="0077608D" w:rsidRPr="001A4755">
        <w:rPr>
          <w:rFonts w:asciiTheme="minorHAnsi" w:hAnsiTheme="minorHAnsi" w:cs="Arial"/>
          <w:sz w:val="24"/>
          <w:szCs w:val="24"/>
        </w:rPr>
        <w:t xml:space="preserve"> activamente</w:t>
      </w:r>
      <w:r w:rsidRPr="001A4755">
        <w:rPr>
          <w:rFonts w:asciiTheme="minorHAnsi" w:hAnsiTheme="minorHAnsi" w:cs="Arial"/>
          <w:sz w:val="24"/>
          <w:szCs w:val="24"/>
        </w:rPr>
        <w:t xml:space="preserve"> en </w:t>
      </w:r>
      <w:r w:rsidR="0077608D" w:rsidRPr="001A4755">
        <w:rPr>
          <w:rFonts w:asciiTheme="minorHAnsi" w:hAnsiTheme="minorHAnsi" w:cs="Arial"/>
          <w:sz w:val="24"/>
          <w:szCs w:val="24"/>
        </w:rPr>
        <w:t xml:space="preserve">las reuniones </w:t>
      </w:r>
      <w:r w:rsidR="003F02ED" w:rsidRPr="001A4755">
        <w:rPr>
          <w:rFonts w:asciiTheme="minorHAnsi" w:hAnsiTheme="minorHAnsi" w:cs="Arial"/>
          <w:sz w:val="24"/>
          <w:szCs w:val="24"/>
        </w:rPr>
        <w:t>convocadas durante el</w:t>
      </w:r>
      <w:r w:rsidR="0077608D" w:rsidRPr="001A4755">
        <w:rPr>
          <w:rFonts w:asciiTheme="minorHAnsi" w:hAnsiTheme="minorHAnsi" w:cs="Arial"/>
          <w:sz w:val="24"/>
          <w:szCs w:val="24"/>
        </w:rPr>
        <w:t xml:space="preserve"> periodo entre sesiones para debatir </w:t>
      </w:r>
      <w:r w:rsidR="003F02ED" w:rsidRPr="001A4755">
        <w:rPr>
          <w:rFonts w:asciiTheme="minorHAnsi" w:hAnsiTheme="minorHAnsi" w:cs="Arial"/>
          <w:sz w:val="24"/>
          <w:szCs w:val="24"/>
        </w:rPr>
        <w:t xml:space="preserve">el futuro desarrollo </w:t>
      </w:r>
      <w:r w:rsidR="00C12F8B" w:rsidRPr="001A4755">
        <w:rPr>
          <w:rFonts w:asciiTheme="minorHAnsi" w:hAnsiTheme="minorHAnsi" w:cs="Arial"/>
          <w:sz w:val="24"/>
          <w:szCs w:val="24"/>
        </w:rPr>
        <w:t>del</w:t>
      </w:r>
      <w:r w:rsidR="0077608D" w:rsidRPr="001A4755">
        <w:rPr>
          <w:rFonts w:asciiTheme="minorHAnsi" w:hAnsiTheme="minorHAnsi" w:cs="Arial"/>
          <w:sz w:val="24"/>
          <w:szCs w:val="24"/>
        </w:rPr>
        <w:t xml:space="preserve"> Enfoque Estratégico y la gestión racional de los productos químicos después de 2020.</w:t>
      </w:r>
    </w:p>
    <w:p w14:paraId="11680F4F" w14:textId="77777777" w:rsidR="00785CF3" w:rsidRPr="001A4755" w:rsidRDefault="00785CF3" w:rsidP="001A4755">
      <w:pPr>
        <w:spacing w:before="0"/>
        <w:rPr>
          <w:rFonts w:asciiTheme="minorHAnsi" w:hAnsiTheme="minorHAnsi" w:cs="Arial"/>
          <w:color w:val="FF0000"/>
          <w:sz w:val="24"/>
          <w:szCs w:val="24"/>
        </w:rPr>
      </w:pPr>
    </w:p>
    <w:p w14:paraId="602012E7" w14:textId="77777777" w:rsidR="00410213" w:rsidRPr="001A4755" w:rsidRDefault="00410213" w:rsidP="001A4755">
      <w:pPr>
        <w:pStyle w:val="Prrafodelista"/>
        <w:numPr>
          <w:ilvl w:val="0"/>
          <w:numId w:val="6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Alentar</w:t>
      </w:r>
      <w:r w:rsidRPr="001A4755">
        <w:rPr>
          <w:rFonts w:asciiTheme="minorHAnsi" w:hAnsiTheme="minorHAnsi" w:cs="Arial"/>
          <w:sz w:val="24"/>
          <w:szCs w:val="24"/>
        </w:rPr>
        <w:t xml:space="preserve"> a los países de la región a incluir</w:t>
      </w:r>
      <w:r w:rsidR="00940D17" w:rsidRPr="001A4755">
        <w:rPr>
          <w:rFonts w:asciiTheme="minorHAnsi" w:hAnsiTheme="minorHAnsi" w:cs="Arial"/>
          <w:sz w:val="24"/>
          <w:szCs w:val="24"/>
        </w:rPr>
        <w:t>,</w:t>
      </w:r>
      <w:r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D2164E" w:rsidRPr="001A4755">
        <w:rPr>
          <w:rFonts w:asciiTheme="minorHAnsi" w:hAnsiTheme="minorHAnsi" w:cs="Arial"/>
          <w:sz w:val="24"/>
          <w:szCs w:val="24"/>
        </w:rPr>
        <w:t>según corresponda</w:t>
      </w:r>
      <w:r w:rsidR="00940D17" w:rsidRPr="001A4755">
        <w:rPr>
          <w:rFonts w:asciiTheme="minorHAnsi" w:hAnsiTheme="minorHAnsi" w:cs="Arial"/>
          <w:sz w:val="24"/>
          <w:szCs w:val="24"/>
        </w:rPr>
        <w:t>,</w:t>
      </w:r>
      <w:r w:rsidR="00D2164E" w:rsidRPr="001A4755">
        <w:rPr>
          <w:rFonts w:asciiTheme="minorHAnsi" w:hAnsiTheme="minorHAnsi" w:cs="Arial"/>
          <w:sz w:val="24"/>
          <w:szCs w:val="24"/>
        </w:rPr>
        <w:t xml:space="preserve"> </w:t>
      </w:r>
      <w:r w:rsidRPr="001A4755">
        <w:rPr>
          <w:rFonts w:asciiTheme="minorHAnsi" w:hAnsiTheme="minorHAnsi" w:cs="Arial"/>
          <w:sz w:val="24"/>
          <w:szCs w:val="24"/>
        </w:rPr>
        <w:t xml:space="preserve">la gestión racional de los productos químicos y los </w:t>
      </w:r>
      <w:r w:rsidR="004A2D1F" w:rsidRPr="001A4755">
        <w:rPr>
          <w:rFonts w:asciiTheme="minorHAnsi" w:hAnsiTheme="minorHAnsi" w:cs="Arial"/>
          <w:sz w:val="24"/>
          <w:szCs w:val="24"/>
        </w:rPr>
        <w:t>desecho</w:t>
      </w:r>
      <w:r w:rsidRPr="001A4755">
        <w:rPr>
          <w:rFonts w:asciiTheme="minorHAnsi" w:hAnsiTheme="minorHAnsi" w:cs="Arial"/>
          <w:sz w:val="24"/>
          <w:szCs w:val="24"/>
        </w:rPr>
        <w:t xml:space="preserve">s </w:t>
      </w:r>
      <w:r w:rsidR="00D2164E" w:rsidRPr="001A4755">
        <w:rPr>
          <w:rFonts w:asciiTheme="minorHAnsi" w:hAnsiTheme="minorHAnsi" w:cs="Arial"/>
          <w:sz w:val="24"/>
          <w:szCs w:val="24"/>
        </w:rPr>
        <w:t>dentro de los procesos nacionales de planificación para el desarrollo y de las políticas sectoriales pertinentes.</w:t>
      </w:r>
    </w:p>
    <w:p w14:paraId="5E542E88" w14:textId="77777777" w:rsidR="006F0CFE" w:rsidRPr="001A4755" w:rsidRDefault="006F0CFE" w:rsidP="001A4755">
      <w:pPr>
        <w:pStyle w:val="Prrafodelista"/>
        <w:ind w:left="360"/>
        <w:rPr>
          <w:rFonts w:asciiTheme="minorHAnsi" w:hAnsiTheme="minorHAnsi" w:cs="Arial"/>
          <w:sz w:val="24"/>
          <w:szCs w:val="24"/>
        </w:rPr>
      </w:pPr>
    </w:p>
    <w:p w14:paraId="5E89FE6E" w14:textId="63062E0A" w:rsidR="006F0CFE" w:rsidRPr="001A4755" w:rsidRDefault="008D024B" w:rsidP="001A4755">
      <w:pPr>
        <w:pStyle w:val="Prrafodelista"/>
        <w:numPr>
          <w:ilvl w:val="0"/>
          <w:numId w:val="6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Desarrollar</w:t>
      </w:r>
      <w:r w:rsidRPr="001A4755">
        <w:rPr>
          <w:rFonts w:asciiTheme="minorHAnsi" w:hAnsiTheme="minorHAnsi" w:cs="Arial"/>
          <w:sz w:val="24"/>
          <w:szCs w:val="24"/>
        </w:rPr>
        <w:t xml:space="preserve"> acciones de cooperación </w:t>
      </w:r>
      <w:r w:rsidR="007237F8" w:rsidRPr="001A4755">
        <w:rPr>
          <w:rFonts w:asciiTheme="minorHAnsi" w:hAnsiTheme="minorHAnsi" w:cs="Arial"/>
          <w:sz w:val="24"/>
          <w:szCs w:val="24"/>
        </w:rPr>
        <w:t>S</w:t>
      </w:r>
      <w:r w:rsidRPr="001A4755">
        <w:rPr>
          <w:rFonts w:asciiTheme="minorHAnsi" w:hAnsiTheme="minorHAnsi" w:cs="Arial"/>
          <w:sz w:val="24"/>
          <w:szCs w:val="24"/>
        </w:rPr>
        <w:t>ur</w:t>
      </w:r>
      <w:r w:rsidR="007237F8" w:rsidRPr="001A4755">
        <w:rPr>
          <w:rFonts w:asciiTheme="minorHAnsi" w:hAnsiTheme="minorHAnsi" w:cs="Arial"/>
          <w:sz w:val="24"/>
          <w:szCs w:val="24"/>
        </w:rPr>
        <w:t>-S</w:t>
      </w:r>
      <w:r w:rsidRPr="001A4755">
        <w:rPr>
          <w:rFonts w:asciiTheme="minorHAnsi" w:hAnsiTheme="minorHAnsi" w:cs="Arial"/>
          <w:sz w:val="24"/>
          <w:szCs w:val="24"/>
        </w:rPr>
        <w:t xml:space="preserve">ur </w:t>
      </w:r>
      <w:r w:rsidR="006F0CFE" w:rsidRPr="001A4755">
        <w:rPr>
          <w:rFonts w:asciiTheme="minorHAnsi" w:hAnsiTheme="minorHAnsi" w:cs="Arial"/>
          <w:sz w:val="24"/>
          <w:szCs w:val="24"/>
        </w:rPr>
        <w:t xml:space="preserve">para fortalecer las capacidades técnicas que permitan enfrentar las diferentes necesidades para implementar una gestión </w:t>
      </w:r>
      <w:r w:rsidR="006F0CFE" w:rsidRPr="001A4755">
        <w:rPr>
          <w:rFonts w:asciiTheme="minorHAnsi" w:hAnsiTheme="minorHAnsi" w:cs="Arial"/>
          <w:sz w:val="24"/>
          <w:szCs w:val="24"/>
        </w:rPr>
        <w:lastRenderedPageBreak/>
        <w:t>ambientalmente racional de las sustancias químicas y desechos</w:t>
      </w:r>
      <w:r w:rsidR="00FD1555" w:rsidRPr="001A4755">
        <w:rPr>
          <w:rFonts w:asciiTheme="minorHAnsi" w:hAnsiTheme="minorHAnsi" w:cs="Arial"/>
          <w:sz w:val="24"/>
          <w:szCs w:val="24"/>
        </w:rPr>
        <w:t>, entre otr</w:t>
      </w:r>
      <w:r w:rsidR="007237F8" w:rsidRPr="001A4755">
        <w:rPr>
          <w:rFonts w:asciiTheme="minorHAnsi" w:hAnsiTheme="minorHAnsi" w:cs="Arial"/>
          <w:sz w:val="24"/>
          <w:szCs w:val="24"/>
        </w:rPr>
        <w:t>a</w:t>
      </w:r>
      <w:r w:rsidR="00FD1555" w:rsidRPr="001A4755">
        <w:rPr>
          <w:rFonts w:asciiTheme="minorHAnsi" w:hAnsiTheme="minorHAnsi" w:cs="Arial"/>
          <w:sz w:val="24"/>
          <w:szCs w:val="24"/>
        </w:rPr>
        <w:t xml:space="preserve">s, el fortalecimiento de la capacidad financiera y técnica de la red de </w:t>
      </w:r>
      <w:r w:rsidR="004E377D" w:rsidRPr="001A4755">
        <w:rPr>
          <w:rFonts w:asciiTheme="minorHAnsi" w:hAnsiTheme="minorHAnsi" w:cs="Arial"/>
          <w:sz w:val="24"/>
          <w:szCs w:val="24"/>
        </w:rPr>
        <w:t>C</w:t>
      </w:r>
      <w:r w:rsidR="00FD1555" w:rsidRPr="001A4755">
        <w:rPr>
          <w:rFonts w:asciiTheme="minorHAnsi" w:hAnsiTheme="minorHAnsi" w:cs="Arial"/>
          <w:sz w:val="24"/>
          <w:szCs w:val="24"/>
        </w:rPr>
        <w:t xml:space="preserve">entros </w:t>
      </w:r>
      <w:r w:rsidR="004E377D" w:rsidRPr="001A4755">
        <w:rPr>
          <w:rFonts w:asciiTheme="minorHAnsi" w:hAnsiTheme="minorHAnsi" w:cs="Arial"/>
          <w:sz w:val="24"/>
          <w:szCs w:val="24"/>
        </w:rPr>
        <w:t>R</w:t>
      </w:r>
      <w:r w:rsidR="00FD1555" w:rsidRPr="001A4755">
        <w:rPr>
          <w:rFonts w:asciiTheme="minorHAnsi" w:hAnsiTheme="minorHAnsi" w:cs="Arial"/>
          <w:sz w:val="24"/>
          <w:szCs w:val="24"/>
        </w:rPr>
        <w:t xml:space="preserve">egionales de América </w:t>
      </w:r>
      <w:r w:rsidR="004E377D" w:rsidRPr="001A4755">
        <w:rPr>
          <w:rFonts w:asciiTheme="minorHAnsi" w:hAnsiTheme="minorHAnsi" w:cs="Arial"/>
          <w:sz w:val="24"/>
          <w:szCs w:val="24"/>
        </w:rPr>
        <w:t>L</w:t>
      </w:r>
      <w:r w:rsidR="00FD1555" w:rsidRPr="001A4755">
        <w:rPr>
          <w:rFonts w:asciiTheme="minorHAnsi" w:hAnsiTheme="minorHAnsi" w:cs="Arial"/>
          <w:sz w:val="24"/>
          <w:szCs w:val="24"/>
        </w:rPr>
        <w:t xml:space="preserve">atina y el </w:t>
      </w:r>
      <w:r w:rsidR="004E377D" w:rsidRPr="001A4755">
        <w:rPr>
          <w:rFonts w:asciiTheme="minorHAnsi" w:hAnsiTheme="minorHAnsi" w:cs="Arial"/>
          <w:sz w:val="24"/>
          <w:szCs w:val="24"/>
        </w:rPr>
        <w:t>C</w:t>
      </w:r>
      <w:r w:rsidR="00FD1555" w:rsidRPr="001A4755">
        <w:rPr>
          <w:rFonts w:asciiTheme="minorHAnsi" w:hAnsiTheme="minorHAnsi" w:cs="Arial"/>
          <w:sz w:val="24"/>
          <w:szCs w:val="24"/>
        </w:rPr>
        <w:t xml:space="preserve">aribe de los Convenios </w:t>
      </w:r>
      <w:r w:rsidR="003646FF" w:rsidRPr="001A4755">
        <w:rPr>
          <w:rFonts w:asciiTheme="minorHAnsi" w:hAnsiTheme="minorHAnsi" w:cs="Arial"/>
          <w:sz w:val="24"/>
          <w:szCs w:val="24"/>
        </w:rPr>
        <w:t>de</w:t>
      </w:r>
      <w:r w:rsidR="00FD1555" w:rsidRPr="001A4755">
        <w:rPr>
          <w:rFonts w:asciiTheme="minorHAnsi" w:hAnsiTheme="minorHAnsi" w:cs="Arial"/>
          <w:sz w:val="24"/>
          <w:szCs w:val="24"/>
        </w:rPr>
        <w:t xml:space="preserve"> químicos y desechos</w:t>
      </w:r>
      <w:r w:rsidR="006F0CFE" w:rsidRPr="001A4755">
        <w:rPr>
          <w:rFonts w:asciiTheme="minorHAnsi" w:hAnsiTheme="minorHAnsi" w:cs="Arial"/>
          <w:sz w:val="24"/>
          <w:szCs w:val="24"/>
        </w:rPr>
        <w:t>;</w:t>
      </w:r>
    </w:p>
    <w:p w14:paraId="02BC4D99" w14:textId="77777777" w:rsidR="006F0CFE" w:rsidRPr="001A4755" w:rsidRDefault="006F0CFE" w:rsidP="001A4755">
      <w:pPr>
        <w:pStyle w:val="Prrafodelista"/>
        <w:ind w:left="360"/>
        <w:rPr>
          <w:rFonts w:asciiTheme="minorHAnsi" w:hAnsiTheme="minorHAnsi" w:cs="Arial"/>
          <w:sz w:val="24"/>
          <w:szCs w:val="24"/>
        </w:rPr>
      </w:pPr>
    </w:p>
    <w:p w14:paraId="0CF98D06" w14:textId="71C7093D" w:rsidR="006F0CFE" w:rsidRPr="001A4755" w:rsidRDefault="006F0CFE" w:rsidP="001A4755">
      <w:pPr>
        <w:pStyle w:val="Prrafodelista"/>
        <w:numPr>
          <w:ilvl w:val="0"/>
          <w:numId w:val="6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Desarrollar</w:t>
      </w:r>
      <w:r w:rsidRPr="001A4755">
        <w:rPr>
          <w:rFonts w:asciiTheme="minorHAnsi" w:hAnsiTheme="minorHAnsi" w:cs="Arial"/>
          <w:sz w:val="24"/>
          <w:szCs w:val="24"/>
        </w:rPr>
        <w:t xml:space="preserve"> conjuntamente entre los países de la región mecanismos de acción oportunos y técnicamente viables para </w:t>
      </w:r>
      <w:r w:rsidR="004E377D" w:rsidRPr="001A4755">
        <w:rPr>
          <w:rFonts w:asciiTheme="minorHAnsi" w:hAnsiTheme="minorHAnsi" w:cs="Arial"/>
          <w:sz w:val="24"/>
          <w:szCs w:val="24"/>
        </w:rPr>
        <w:t xml:space="preserve">evitar accidentes y </w:t>
      </w:r>
      <w:r w:rsidRPr="001A4755">
        <w:rPr>
          <w:rFonts w:asciiTheme="minorHAnsi" w:hAnsiTheme="minorHAnsi" w:cs="Arial"/>
          <w:sz w:val="24"/>
          <w:szCs w:val="24"/>
        </w:rPr>
        <w:t xml:space="preserve">responder ante contingencias </w:t>
      </w:r>
      <w:r w:rsidR="00D875EB" w:rsidRPr="001A4755">
        <w:rPr>
          <w:rFonts w:asciiTheme="minorHAnsi" w:hAnsiTheme="minorHAnsi" w:cs="Arial"/>
          <w:sz w:val="24"/>
          <w:szCs w:val="24"/>
        </w:rPr>
        <w:t>y desastres</w:t>
      </w:r>
      <w:r w:rsidRPr="001A4755">
        <w:rPr>
          <w:rFonts w:asciiTheme="minorHAnsi" w:hAnsiTheme="minorHAnsi" w:cs="Arial"/>
          <w:sz w:val="24"/>
          <w:szCs w:val="24"/>
        </w:rPr>
        <w:t>, sea a nivel local o regional</w:t>
      </w:r>
      <w:r w:rsidR="00D875EB" w:rsidRPr="001A4755">
        <w:rPr>
          <w:rFonts w:asciiTheme="minorHAnsi" w:hAnsiTheme="minorHAnsi" w:cs="Arial"/>
          <w:sz w:val="24"/>
          <w:szCs w:val="24"/>
        </w:rPr>
        <w:t xml:space="preserve">; </w:t>
      </w:r>
    </w:p>
    <w:p w14:paraId="5CA3D9A0" w14:textId="77777777" w:rsidR="006F0CFE" w:rsidRPr="001A4755" w:rsidRDefault="006F0CFE" w:rsidP="006F0CFE">
      <w:pPr>
        <w:pStyle w:val="Prrafodelista"/>
        <w:rPr>
          <w:rFonts w:asciiTheme="minorHAnsi" w:hAnsiTheme="minorHAnsi" w:cs="Arial"/>
          <w:sz w:val="24"/>
          <w:szCs w:val="24"/>
        </w:rPr>
      </w:pPr>
    </w:p>
    <w:p w14:paraId="33E1361F" w14:textId="77777777" w:rsidR="00094668" w:rsidRPr="001A4755" w:rsidRDefault="00D92BA3" w:rsidP="00D35319">
      <w:pPr>
        <w:spacing w:before="0"/>
        <w:rPr>
          <w:rFonts w:asciiTheme="minorHAnsi" w:hAnsiTheme="minorHAnsi" w:cs="Arial"/>
          <w:b/>
          <w:i/>
          <w:sz w:val="24"/>
          <w:szCs w:val="24"/>
        </w:rPr>
      </w:pPr>
      <w:r w:rsidRPr="001A4755">
        <w:rPr>
          <w:rFonts w:asciiTheme="minorHAnsi" w:hAnsiTheme="minorHAnsi" w:cs="Arial"/>
          <w:b/>
          <w:i/>
          <w:sz w:val="24"/>
          <w:szCs w:val="24"/>
        </w:rPr>
        <w:t>Convenios de Basilea, Estocolmo y Rotterdam</w:t>
      </w:r>
    </w:p>
    <w:p w14:paraId="61E60C51" w14:textId="77777777" w:rsidR="00094668" w:rsidRPr="001A4755" w:rsidRDefault="00094668" w:rsidP="00D35319">
      <w:pPr>
        <w:spacing w:before="0"/>
        <w:rPr>
          <w:rFonts w:asciiTheme="minorHAnsi" w:hAnsiTheme="minorHAnsi" w:cs="Arial"/>
          <w:b/>
          <w:sz w:val="24"/>
          <w:szCs w:val="24"/>
        </w:rPr>
      </w:pPr>
    </w:p>
    <w:p w14:paraId="51735D16" w14:textId="526B01E3" w:rsidR="00867B77" w:rsidRPr="001A4755" w:rsidRDefault="00F2098B" w:rsidP="00D35319">
      <w:p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 xml:space="preserve">Recordando </w:t>
      </w:r>
      <w:r w:rsidR="00867B77" w:rsidRPr="001A4755">
        <w:rPr>
          <w:rFonts w:asciiTheme="minorHAnsi" w:hAnsiTheme="minorHAnsi" w:cs="Arial"/>
          <w:sz w:val="24"/>
          <w:szCs w:val="24"/>
        </w:rPr>
        <w:t xml:space="preserve">las decisiones adoptadas durante las </w:t>
      </w:r>
      <w:r w:rsidR="008E2D78" w:rsidRPr="001A4755">
        <w:rPr>
          <w:rFonts w:asciiTheme="minorHAnsi" w:hAnsiTheme="minorHAnsi" w:cs="Arial"/>
          <w:sz w:val="24"/>
          <w:szCs w:val="24"/>
        </w:rPr>
        <w:t xml:space="preserve">respectivas </w:t>
      </w:r>
      <w:r w:rsidR="00867B77" w:rsidRPr="001A4755">
        <w:rPr>
          <w:rFonts w:asciiTheme="minorHAnsi" w:hAnsiTheme="minorHAnsi" w:cs="Arial"/>
          <w:sz w:val="24"/>
          <w:szCs w:val="24"/>
        </w:rPr>
        <w:t xml:space="preserve">reuniones de las Conferencias de </w:t>
      </w:r>
      <w:r w:rsidR="00D72088" w:rsidRPr="001A4755">
        <w:rPr>
          <w:rFonts w:asciiTheme="minorHAnsi" w:hAnsiTheme="minorHAnsi" w:cs="Arial"/>
          <w:sz w:val="24"/>
          <w:szCs w:val="24"/>
        </w:rPr>
        <w:t xml:space="preserve">las Partes de los Convenios de Basilea sobre el control de los movimientos transfronterizos de desechos peligrosos y su eliminación, del Convenio de Estocolmo sobre contaminantes orgánicos persistentes, </w:t>
      </w:r>
      <w:r w:rsidR="00867B77" w:rsidRPr="001A4755">
        <w:rPr>
          <w:rFonts w:asciiTheme="minorHAnsi" w:hAnsiTheme="minorHAnsi" w:cs="Arial"/>
          <w:sz w:val="24"/>
          <w:szCs w:val="24"/>
        </w:rPr>
        <w:t xml:space="preserve">y </w:t>
      </w:r>
      <w:r w:rsidR="00D72088" w:rsidRPr="001A4755">
        <w:rPr>
          <w:rFonts w:asciiTheme="minorHAnsi" w:hAnsiTheme="minorHAnsi" w:cs="Arial"/>
          <w:sz w:val="24"/>
          <w:szCs w:val="24"/>
        </w:rPr>
        <w:t>del Convenio de Rotterdam sobre el procedimiento de consentimiento fundamentado previo aplicable a ciertos plaguicidas y productos peligrosos o</w:t>
      </w:r>
      <w:r w:rsidR="006B3FD9" w:rsidRPr="001A4755">
        <w:rPr>
          <w:rFonts w:asciiTheme="minorHAnsi" w:hAnsiTheme="minorHAnsi" w:cs="Arial"/>
          <w:sz w:val="24"/>
          <w:szCs w:val="24"/>
        </w:rPr>
        <w:t>bjeto de comercio internacional, en mayo de 201</w:t>
      </w:r>
      <w:r w:rsidR="00023843" w:rsidRPr="001A4755">
        <w:rPr>
          <w:rFonts w:asciiTheme="minorHAnsi" w:hAnsiTheme="minorHAnsi" w:cs="Arial"/>
          <w:sz w:val="24"/>
          <w:szCs w:val="24"/>
        </w:rPr>
        <w:t>5</w:t>
      </w:r>
      <w:r w:rsidR="00A261B8" w:rsidRPr="001A4755">
        <w:rPr>
          <w:rFonts w:asciiTheme="minorHAnsi" w:hAnsiTheme="minorHAnsi" w:cs="Arial"/>
          <w:sz w:val="24"/>
          <w:szCs w:val="24"/>
        </w:rPr>
        <w:t>;</w:t>
      </w:r>
    </w:p>
    <w:p w14:paraId="51C6F0C7" w14:textId="77777777" w:rsidR="00D1428D" w:rsidRPr="001A4755" w:rsidRDefault="00D1428D" w:rsidP="00D35319">
      <w:pPr>
        <w:spacing w:before="0"/>
        <w:rPr>
          <w:rFonts w:asciiTheme="minorHAnsi" w:hAnsiTheme="minorHAnsi" w:cs="Arial"/>
          <w:sz w:val="24"/>
          <w:szCs w:val="24"/>
        </w:rPr>
      </w:pPr>
    </w:p>
    <w:p w14:paraId="580FEFB0" w14:textId="77777777" w:rsidR="00D1428D" w:rsidRPr="001A4755" w:rsidRDefault="00D1428D" w:rsidP="009662C3">
      <w:p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Reconociendo</w:t>
      </w:r>
      <w:r w:rsidRPr="001A4755">
        <w:rPr>
          <w:rFonts w:asciiTheme="minorHAnsi" w:hAnsiTheme="minorHAnsi" w:cs="Arial"/>
          <w:sz w:val="24"/>
          <w:szCs w:val="24"/>
        </w:rPr>
        <w:t xml:space="preserve"> el trabajo realizado</w:t>
      </w:r>
      <w:r w:rsidR="009662C3" w:rsidRPr="001A4755">
        <w:rPr>
          <w:rFonts w:asciiTheme="minorHAnsi" w:hAnsiTheme="minorHAnsi" w:cs="Arial"/>
          <w:sz w:val="24"/>
          <w:szCs w:val="24"/>
        </w:rPr>
        <w:t xml:space="preserve"> para reforzar la coordinación y cooperación entre </w:t>
      </w:r>
      <w:r w:rsidRPr="001A4755">
        <w:rPr>
          <w:rFonts w:asciiTheme="minorHAnsi" w:hAnsiTheme="minorHAnsi" w:cs="Arial"/>
          <w:sz w:val="24"/>
          <w:szCs w:val="24"/>
        </w:rPr>
        <w:t xml:space="preserve">los </w:t>
      </w:r>
      <w:r w:rsidR="009662C3" w:rsidRPr="001A4755">
        <w:rPr>
          <w:rFonts w:asciiTheme="minorHAnsi" w:hAnsiTheme="minorHAnsi" w:cs="Arial"/>
          <w:sz w:val="24"/>
          <w:szCs w:val="24"/>
        </w:rPr>
        <w:t xml:space="preserve">convenios de químicos y </w:t>
      </w:r>
      <w:r w:rsidR="004A2D1F" w:rsidRPr="001A4755">
        <w:rPr>
          <w:rFonts w:asciiTheme="minorHAnsi" w:hAnsiTheme="minorHAnsi" w:cs="Arial"/>
          <w:sz w:val="24"/>
          <w:szCs w:val="24"/>
        </w:rPr>
        <w:t>desecho</w:t>
      </w:r>
      <w:r w:rsidR="009662C3" w:rsidRPr="001A4755">
        <w:rPr>
          <w:rFonts w:asciiTheme="minorHAnsi" w:hAnsiTheme="minorHAnsi" w:cs="Arial"/>
          <w:sz w:val="24"/>
          <w:szCs w:val="24"/>
        </w:rPr>
        <w:t xml:space="preserve">s y el SAICM; </w:t>
      </w:r>
    </w:p>
    <w:p w14:paraId="766B1444" w14:textId="77777777" w:rsidR="00A26CBD" w:rsidRPr="001A4755" w:rsidRDefault="00A26CBD" w:rsidP="00D35319">
      <w:pPr>
        <w:spacing w:before="0"/>
        <w:rPr>
          <w:rFonts w:asciiTheme="minorHAnsi" w:hAnsiTheme="minorHAnsi" w:cs="Arial"/>
          <w:color w:val="0070C0"/>
          <w:sz w:val="24"/>
          <w:szCs w:val="24"/>
        </w:rPr>
      </w:pPr>
    </w:p>
    <w:p w14:paraId="04F57309" w14:textId="32689369" w:rsidR="00A26CBD" w:rsidRPr="001A4755" w:rsidRDefault="00A26CBD" w:rsidP="00A26CBD">
      <w:p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Reafirma</w:t>
      </w:r>
      <w:r w:rsidR="000200A6" w:rsidRPr="001A4755">
        <w:rPr>
          <w:rFonts w:asciiTheme="minorHAnsi" w:hAnsiTheme="minorHAnsi" w:cs="Arial"/>
          <w:b/>
          <w:sz w:val="24"/>
          <w:szCs w:val="24"/>
        </w:rPr>
        <w:t>ndo</w:t>
      </w:r>
      <w:r w:rsidRPr="001A475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A4755">
        <w:rPr>
          <w:rFonts w:asciiTheme="minorHAnsi" w:hAnsiTheme="minorHAnsi" w:cs="Arial"/>
          <w:sz w:val="24"/>
          <w:szCs w:val="24"/>
        </w:rPr>
        <w:t xml:space="preserve">la necesidad de incrementar la capacidad técnica </w:t>
      </w:r>
      <w:r w:rsidR="00D1428D" w:rsidRPr="001A4755">
        <w:rPr>
          <w:rFonts w:asciiTheme="minorHAnsi" w:hAnsiTheme="minorHAnsi" w:cs="Arial"/>
          <w:sz w:val="24"/>
          <w:szCs w:val="24"/>
        </w:rPr>
        <w:t xml:space="preserve">y científica </w:t>
      </w:r>
      <w:r w:rsidRPr="001A4755">
        <w:rPr>
          <w:rFonts w:asciiTheme="minorHAnsi" w:hAnsiTheme="minorHAnsi" w:cs="Arial"/>
          <w:sz w:val="24"/>
          <w:szCs w:val="24"/>
        </w:rPr>
        <w:t xml:space="preserve">de los países de la región, </w:t>
      </w:r>
      <w:r w:rsidR="009662C3" w:rsidRPr="001A4755">
        <w:rPr>
          <w:rFonts w:asciiTheme="minorHAnsi" w:hAnsiTheme="minorHAnsi" w:cs="Arial"/>
          <w:sz w:val="24"/>
          <w:szCs w:val="24"/>
        </w:rPr>
        <w:t xml:space="preserve">incluyendo las necesidades </w:t>
      </w:r>
      <w:r w:rsidR="0059145D" w:rsidRPr="001A4755">
        <w:rPr>
          <w:rFonts w:asciiTheme="minorHAnsi" w:hAnsiTheme="minorHAnsi" w:cs="Arial"/>
          <w:sz w:val="24"/>
          <w:szCs w:val="24"/>
        </w:rPr>
        <w:t xml:space="preserve">derivadas de </w:t>
      </w:r>
      <w:r w:rsidR="009662C3" w:rsidRPr="001A4755">
        <w:rPr>
          <w:rFonts w:asciiTheme="minorHAnsi" w:hAnsiTheme="minorHAnsi" w:cs="Arial"/>
          <w:sz w:val="24"/>
          <w:szCs w:val="24"/>
        </w:rPr>
        <w:t xml:space="preserve">la inclusión de nuevos productos químicos en los Convenios, </w:t>
      </w:r>
      <w:r w:rsidRPr="001A4755">
        <w:rPr>
          <w:rFonts w:asciiTheme="minorHAnsi" w:hAnsiTheme="minorHAnsi" w:cs="Arial"/>
          <w:sz w:val="24"/>
          <w:szCs w:val="24"/>
        </w:rPr>
        <w:t>y destaca</w:t>
      </w:r>
      <w:r w:rsidR="000200A6" w:rsidRPr="001A4755">
        <w:rPr>
          <w:rFonts w:asciiTheme="minorHAnsi" w:hAnsiTheme="minorHAnsi" w:cs="Arial"/>
          <w:sz w:val="24"/>
          <w:szCs w:val="24"/>
        </w:rPr>
        <w:t>ndo</w:t>
      </w:r>
      <w:r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9C22D1" w:rsidRPr="001A4755">
        <w:rPr>
          <w:rFonts w:asciiTheme="minorHAnsi" w:hAnsiTheme="minorHAnsi" w:cs="Arial"/>
          <w:sz w:val="24"/>
          <w:szCs w:val="24"/>
        </w:rPr>
        <w:t xml:space="preserve">el apoyo proporcionado a las Partes en la región </w:t>
      </w:r>
      <w:r w:rsidR="00F25F91" w:rsidRPr="001A4755">
        <w:rPr>
          <w:rFonts w:asciiTheme="minorHAnsi" w:hAnsiTheme="minorHAnsi" w:cs="Arial"/>
          <w:sz w:val="24"/>
          <w:szCs w:val="24"/>
        </w:rPr>
        <w:t xml:space="preserve">y sub-regiones </w:t>
      </w:r>
      <w:r w:rsidR="009C22D1" w:rsidRPr="001A4755">
        <w:rPr>
          <w:rFonts w:asciiTheme="minorHAnsi" w:hAnsiTheme="minorHAnsi" w:cs="Arial"/>
          <w:sz w:val="24"/>
          <w:szCs w:val="24"/>
        </w:rPr>
        <w:t xml:space="preserve">a través de </w:t>
      </w:r>
      <w:r w:rsidRPr="001A4755">
        <w:rPr>
          <w:rFonts w:asciiTheme="minorHAnsi" w:hAnsiTheme="minorHAnsi" w:cs="Arial"/>
          <w:sz w:val="24"/>
          <w:szCs w:val="24"/>
        </w:rPr>
        <w:t xml:space="preserve">los </w:t>
      </w:r>
      <w:r w:rsidR="000E0D22" w:rsidRPr="001A4755">
        <w:rPr>
          <w:rFonts w:asciiTheme="minorHAnsi" w:hAnsiTheme="minorHAnsi" w:cs="Arial"/>
          <w:sz w:val="24"/>
          <w:szCs w:val="24"/>
        </w:rPr>
        <w:t>C</w:t>
      </w:r>
      <w:r w:rsidRPr="001A4755">
        <w:rPr>
          <w:rFonts w:asciiTheme="minorHAnsi" w:hAnsiTheme="minorHAnsi" w:cs="Arial"/>
          <w:sz w:val="24"/>
          <w:szCs w:val="24"/>
        </w:rPr>
        <w:t xml:space="preserve">entros </w:t>
      </w:r>
      <w:r w:rsidR="000E0D22" w:rsidRPr="001A4755">
        <w:rPr>
          <w:rFonts w:asciiTheme="minorHAnsi" w:hAnsiTheme="minorHAnsi" w:cs="Arial"/>
          <w:sz w:val="24"/>
          <w:szCs w:val="24"/>
        </w:rPr>
        <w:t>R</w:t>
      </w:r>
      <w:r w:rsidRPr="001A4755">
        <w:rPr>
          <w:rFonts w:asciiTheme="minorHAnsi" w:hAnsiTheme="minorHAnsi" w:cs="Arial"/>
          <w:sz w:val="24"/>
          <w:szCs w:val="24"/>
        </w:rPr>
        <w:t>egionales de los Convenios de Basilea y Estocolmo, así como el apoyo ofrecido por los países sede de los mismos;</w:t>
      </w:r>
    </w:p>
    <w:p w14:paraId="574ADD56" w14:textId="77777777" w:rsidR="00C25849" w:rsidRPr="001A4755" w:rsidRDefault="00C25849" w:rsidP="00D35319">
      <w:pPr>
        <w:spacing w:before="0"/>
        <w:rPr>
          <w:rFonts w:asciiTheme="minorHAnsi" w:hAnsiTheme="minorHAnsi" w:cs="Arial"/>
          <w:sz w:val="24"/>
          <w:szCs w:val="24"/>
        </w:rPr>
      </w:pPr>
    </w:p>
    <w:p w14:paraId="6E1A0781" w14:textId="09CDB6EC" w:rsidR="009C22D1" w:rsidRPr="001A4755" w:rsidRDefault="009C22D1" w:rsidP="00D35319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b/>
          <w:sz w:val="24"/>
          <w:szCs w:val="24"/>
          <w:lang w:val="es-PA"/>
        </w:rPr>
        <w:t>Dando la bienvenida</w:t>
      </w: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 </w:t>
      </w:r>
      <w:r w:rsidR="00CD66BA" w:rsidRPr="001A4755">
        <w:rPr>
          <w:rFonts w:asciiTheme="minorHAnsi" w:hAnsiTheme="minorHAnsi" w:cs="Arial"/>
          <w:sz w:val="24"/>
          <w:szCs w:val="24"/>
          <w:lang w:val="es-PA"/>
        </w:rPr>
        <w:t xml:space="preserve">al </w:t>
      </w: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Programa Especial para </w:t>
      </w:r>
      <w:r w:rsidR="00C376EC" w:rsidRPr="001A4755">
        <w:rPr>
          <w:rFonts w:asciiTheme="minorHAnsi" w:hAnsiTheme="minorHAnsi" w:cs="Arial"/>
          <w:sz w:val="24"/>
          <w:szCs w:val="24"/>
          <w:lang w:val="es-PA"/>
        </w:rPr>
        <w:t xml:space="preserve">apoyar el fortalecimiento </w:t>
      </w: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institucional </w:t>
      </w:r>
      <w:r w:rsidR="00C376EC" w:rsidRPr="001A4755">
        <w:rPr>
          <w:rFonts w:asciiTheme="minorHAnsi" w:hAnsiTheme="minorHAnsi" w:cs="Arial"/>
          <w:sz w:val="24"/>
          <w:szCs w:val="24"/>
          <w:lang w:val="es-PA"/>
        </w:rPr>
        <w:t xml:space="preserve">a nivel nacional </w:t>
      </w: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para </w:t>
      </w:r>
      <w:r w:rsidR="00C376EC" w:rsidRPr="001A4755">
        <w:rPr>
          <w:rFonts w:asciiTheme="minorHAnsi" w:hAnsiTheme="minorHAnsi" w:cs="Arial"/>
          <w:sz w:val="24"/>
          <w:szCs w:val="24"/>
          <w:lang w:val="es-PA"/>
        </w:rPr>
        <w:t xml:space="preserve">la </w:t>
      </w:r>
      <w:r w:rsidRPr="001A4755">
        <w:rPr>
          <w:rFonts w:asciiTheme="minorHAnsi" w:hAnsiTheme="minorHAnsi" w:cs="Arial"/>
          <w:sz w:val="24"/>
          <w:szCs w:val="24"/>
          <w:lang w:val="es-PA"/>
        </w:rPr>
        <w:t>aplica</w:t>
      </w:r>
      <w:r w:rsidR="00C376EC" w:rsidRPr="001A4755">
        <w:rPr>
          <w:rFonts w:asciiTheme="minorHAnsi" w:hAnsiTheme="minorHAnsi" w:cs="Arial"/>
          <w:sz w:val="24"/>
          <w:szCs w:val="24"/>
          <w:lang w:val="es-PA"/>
        </w:rPr>
        <w:t>ción</w:t>
      </w: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 </w:t>
      </w:r>
      <w:r w:rsidR="00C376EC" w:rsidRPr="001A4755">
        <w:rPr>
          <w:rFonts w:asciiTheme="minorHAnsi" w:hAnsiTheme="minorHAnsi" w:cs="Arial"/>
          <w:sz w:val="24"/>
          <w:szCs w:val="24"/>
          <w:lang w:val="es-PA"/>
        </w:rPr>
        <w:t xml:space="preserve">de </w:t>
      </w: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los </w:t>
      </w:r>
      <w:r w:rsidR="00C376EC" w:rsidRPr="001A4755">
        <w:rPr>
          <w:rFonts w:asciiTheme="minorHAnsi" w:hAnsiTheme="minorHAnsi" w:cs="Arial"/>
          <w:sz w:val="24"/>
          <w:szCs w:val="24"/>
          <w:lang w:val="es-PA"/>
        </w:rPr>
        <w:t>C</w:t>
      </w: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onvenios </w:t>
      </w:r>
      <w:r w:rsidR="00C376EC" w:rsidRPr="001A4755">
        <w:rPr>
          <w:rFonts w:asciiTheme="minorHAnsi" w:hAnsiTheme="minorHAnsi" w:cs="Arial"/>
          <w:sz w:val="24"/>
          <w:szCs w:val="24"/>
          <w:lang w:val="es-PA"/>
        </w:rPr>
        <w:t xml:space="preserve">de Basilea, Rotterdam y Estocolmo, el </w:t>
      </w:r>
      <w:r w:rsidRPr="001A4755">
        <w:rPr>
          <w:rFonts w:asciiTheme="minorHAnsi" w:hAnsiTheme="minorHAnsi" w:cs="Arial"/>
          <w:sz w:val="24"/>
          <w:szCs w:val="24"/>
          <w:lang w:val="es-PA"/>
        </w:rPr>
        <w:t>Convenio de Minam</w:t>
      </w:r>
      <w:r w:rsidR="002C0411" w:rsidRPr="001A4755">
        <w:rPr>
          <w:rFonts w:asciiTheme="minorHAnsi" w:hAnsiTheme="minorHAnsi" w:cs="Arial"/>
          <w:sz w:val="24"/>
          <w:szCs w:val="24"/>
          <w:lang w:val="es-PA"/>
        </w:rPr>
        <w:t>a</w:t>
      </w:r>
      <w:r w:rsidRPr="001A4755">
        <w:rPr>
          <w:rFonts w:asciiTheme="minorHAnsi" w:hAnsiTheme="minorHAnsi" w:cs="Arial"/>
          <w:sz w:val="24"/>
          <w:szCs w:val="24"/>
          <w:lang w:val="es-PA"/>
        </w:rPr>
        <w:t>ta</w:t>
      </w:r>
      <w:r w:rsidR="00C376EC" w:rsidRPr="001A4755">
        <w:rPr>
          <w:rFonts w:asciiTheme="minorHAnsi" w:hAnsiTheme="minorHAnsi" w:cs="Arial"/>
          <w:sz w:val="24"/>
          <w:szCs w:val="24"/>
          <w:lang w:val="es-PA"/>
        </w:rPr>
        <w:t xml:space="preserve"> y el Enfoque Estratégico para la Gestión de los Productos Químicos a Nivel Internacional</w:t>
      </w:r>
      <w:r w:rsidRPr="001A4755">
        <w:rPr>
          <w:rFonts w:asciiTheme="minorHAnsi" w:hAnsiTheme="minorHAnsi" w:cs="Arial"/>
          <w:sz w:val="24"/>
          <w:szCs w:val="24"/>
          <w:lang w:val="es-PA"/>
        </w:rPr>
        <w:t>;</w:t>
      </w:r>
    </w:p>
    <w:p w14:paraId="779EC2D7" w14:textId="77777777" w:rsidR="009C22D1" w:rsidRPr="001A4755" w:rsidRDefault="009C22D1" w:rsidP="00D35319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</w:p>
    <w:p w14:paraId="20A5B05D" w14:textId="0DD107E3" w:rsidR="009442C8" w:rsidRPr="001A4755" w:rsidRDefault="009442C8" w:rsidP="009442C8">
      <w:pPr>
        <w:spacing w:before="0"/>
        <w:jc w:val="center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Decide</w:t>
      </w:r>
      <w:r w:rsidR="00076E38" w:rsidRPr="001A4755">
        <w:rPr>
          <w:rFonts w:asciiTheme="minorHAnsi" w:hAnsiTheme="minorHAnsi" w:cs="Arial"/>
          <w:b/>
          <w:sz w:val="24"/>
          <w:szCs w:val="24"/>
        </w:rPr>
        <w:t>n</w:t>
      </w:r>
    </w:p>
    <w:p w14:paraId="0F6B95D0" w14:textId="77777777" w:rsidR="00C25849" w:rsidRPr="001A4755" w:rsidRDefault="00C25849" w:rsidP="001A4755">
      <w:pPr>
        <w:spacing w:before="0"/>
        <w:rPr>
          <w:rFonts w:asciiTheme="minorHAnsi" w:hAnsiTheme="minorHAnsi" w:cs="Arial"/>
          <w:sz w:val="24"/>
          <w:szCs w:val="24"/>
        </w:rPr>
      </w:pPr>
    </w:p>
    <w:p w14:paraId="2D5EFE9E" w14:textId="74B8C44C" w:rsidR="00C25849" w:rsidRPr="001A4755" w:rsidRDefault="000239B1" w:rsidP="001A4755">
      <w:pPr>
        <w:pStyle w:val="Prrafodelista"/>
        <w:numPr>
          <w:ilvl w:val="0"/>
          <w:numId w:val="7"/>
        </w:num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Reiterar</w:t>
      </w:r>
      <w:r w:rsidRPr="001A4755">
        <w:rPr>
          <w:rFonts w:asciiTheme="minorHAnsi" w:hAnsiTheme="minorHAnsi" w:cs="Arial"/>
          <w:sz w:val="24"/>
          <w:szCs w:val="24"/>
        </w:rPr>
        <w:t xml:space="preserve"> la necesidad de </w:t>
      </w:r>
      <w:r w:rsidR="009662C3" w:rsidRPr="001A4755">
        <w:rPr>
          <w:rFonts w:asciiTheme="minorHAnsi" w:hAnsiTheme="minorHAnsi" w:cs="Arial"/>
          <w:sz w:val="24"/>
          <w:szCs w:val="24"/>
        </w:rPr>
        <w:t>r</w:t>
      </w:r>
      <w:r w:rsidR="00C25849" w:rsidRPr="001A4755">
        <w:rPr>
          <w:rFonts w:asciiTheme="minorHAnsi" w:hAnsiTheme="minorHAnsi" w:cs="Arial"/>
          <w:sz w:val="24"/>
          <w:szCs w:val="24"/>
        </w:rPr>
        <w:t>eforzar, en colaboración con los organismos internacionales y otros actores relevantes, la capacidad financiera y técnica de la red de Centros Regionales de los Convenios de Basilea y Estocolmo</w:t>
      </w:r>
      <w:r w:rsidR="00C376EC" w:rsidRPr="001A4755">
        <w:rPr>
          <w:rFonts w:asciiTheme="minorHAnsi" w:hAnsiTheme="minorHAnsi" w:cs="Arial"/>
          <w:sz w:val="24"/>
          <w:szCs w:val="24"/>
        </w:rPr>
        <w:t xml:space="preserve"> en América Latina y el Caribe</w:t>
      </w:r>
      <w:r w:rsidR="00C25849" w:rsidRPr="001A4755">
        <w:rPr>
          <w:rFonts w:asciiTheme="minorHAnsi" w:hAnsiTheme="minorHAnsi" w:cs="Arial"/>
          <w:sz w:val="24"/>
          <w:szCs w:val="24"/>
        </w:rPr>
        <w:t xml:space="preserve">, para facilitar </w:t>
      </w:r>
      <w:r w:rsidR="00461472" w:rsidRPr="001A4755">
        <w:rPr>
          <w:rFonts w:asciiTheme="minorHAnsi" w:hAnsiTheme="minorHAnsi" w:cs="Arial"/>
          <w:sz w:val="24"/>
          <w:szCs w:val="24"/>
        </w:rPr>
        <w:t>la efectiva creación de capacidades</w:t>
      </w:r>
      <w:r w:rsidR="00C25849" w:rsidRPr="001A4755">
        <w:rPr>
          <w:rFonts w:asciiTheme="minorHAnsi" w:hAnsiTheme="minorHAnsi" w:cs="Arial"/>
          <w:sz w:val="24"/>
          <w:szCs w:val="24"/>
        </w:rPr>
        <w:t xml:space="preserve">, asistencia técnica y transferencia de tecnología </w:t>
      </w:r>
      <w:r w:rsidR="00461472" w:rsidRPr="001A4755">
        <w:rPr>
          <w:rFonts w:asciiTheme="minorHAnsi" w:hAnsiTheme="minorHAnsi" w:cs="Arial"/>
          <w:sz w:val="24"/>
          <w:szCs w:val="24"/>
        </w:rPr>
        <w:t xml:space="preserve">para apoyar la implementación de los convenios de químicos </w:t>
      </w:r>
      <w:r w:rsidR="00C25849" w:rsidRPr="001A4755">
        <w:rPr>
          <w:rFonts w:asciiTheme="minorHAnsi" w:hAnsiTheme="minorHAnsi" w:cs="Arial"/>
          <w:sz w:val="24"/>
          <w:szCs w:val="24"/>
        </w:rPr>
        <w:t xml:space="preserve">y </w:t>
      </w:r>
      <w:r w:rsidR="004A2D1F" w:rsidRPr="001A4755">
        <w:rPr>
          <w:rFonts w:asciiTheme="minorHAnsi" w:hAnsiTheme="minorHAnsi" w:cs="Arial"/>
          <w:sz w:val="24"/>
          <w:szCs w:val="24"/>
        </w:rPr>
        <w:t>desecho</w:t>
      </w:r>
      <w:r w:rsidR="00C25849" w:rsidRPr="001A4755">
        <w:rPr>
          <w:rFonts w:asciiTheme="minorHAnsi" w:hAnsiTheme="minorHAnsi" w:cs="Arial"/>
          <w:sz w:val="24"/>
          <w:szCs w:val="24"/>
        </w:rPr>
        <w:t xml:space="preserve">s, </w:t>
      </w:r>
      <w:r w:rsidR="00461472" w:rsidRPr="001A4755">
        <w:rPr>
          <w:rFonts w:asciiTheme="minorHAnsi" w:hAnsiTheme="minorHAnsi" w:cs="Arial"/>
          <w:sz w:val="24"/>
          <w:szCs w:val="24"/>
        </w:rPr>
        <w:t xml:space="preserve">y cuando proceda, </w:t>
      </w:r>
      <w:r w:rsidR="00C25849" w:rsidRPr="001A4755">
        <w:rPr>
          <w:rFonts w:asciiTheme="minorHAnsi" w:hAnsiTheme="minorHAnsi" w:cs="Arial"/>
          <w:sz w:val="24"/>
          <w:szCs w:val="24"/>
        </w:rPr>
        <w:t>el Conveni</w:t>
      </w:r>
      <w:r w:rsidR="00F7386F" w:rsidRPr="001A4755">
        <w:rPr>
          <w:rFonts w:asciiTheme="minorHAnsi" w:hAnsiTheme="minorHAnsi" w:cs="Arial"/>
          <w:sz w:val="24"/>
          <w:szCs w:val="24"/>
        </w:rPr>
        <w:t>o de Minamata sobre el mercurio.</w:t>
      </w:r>
    </w:p>
    <w:p w14:paraId="305AB3C3" w14:textId="77777777" w:rsidR="000200A6" w:rsidRPr="001A4755" w:rsidRDefault="000200A6" w:rsidP="001A4755">
      <w:pPr>
        <w:spacing w:before="0"/>
        <w:rPr>
          <w:rFonts w:asciiTheme="minorHAnsi" w:hAnsiTheme="minorHAnsi" w:cs="Arial"/>
          <w:color w:val="0070C0"/>
          <w:sz w:val="24"/>
          <w:szCs w:val="24"/>
        </w:rPr>
      </w:pPr>
    </w:p>
    <w:p w14:paraId="22AF1ACE" w14:textId="0DE62EA3" w:rsidR="009C1FD1" w:rsidRPr="001A4755" w:rsidRDefault="009C1FD1" w:rsidP="001A4755">
      <w:pPr>
        <w:pStyle w:val="Prrafodelista"/>
        <w:numPr>
          <w:ilvl w:val="0"/>
          <w:numId w:val="7"/>
        </w:numPr>
        <w:spacing w:before="0"/>
        <w:rPr>
          <w:rFonts w:asciiTheme="minorHAnsi" w:hAnsiTheme="minorHAnsi" w:cs="Arial"/>
          <w:b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 xml:space="preserve">Dar la bienvenida </w:t>
      </w:r>
      <w:r w:rsidRPr="001A4755">
        <w:rPr>
          <w:rFonts w:asciiTheme="minorHAnsi" w:hAnsiTheme="minorHAnsi" w:cs="Arial"/>
          <w:sz w:val="24"/>
          <w:szCs w:val="24"/>
        </w:rPr>
        <w:t xml:space="preserve">a los avances efectuados </w:t>
      </w:r>
      <w:r w:rsidR="002C0411" w:rsidRPr="001A4755">
        <w:rPr>
          <w:rFonts w:asciiTheme="minorHAnsi" w:hAnsiTheme="minorHAnsi" w:cs="Arial"/>
          <w:sz w:val="24"/>
          <w:szCs w:val="24"/>
        </w:rPr>
        <w:t>hasta la fecha en relación a la</w:t>
      </w:r>
      <w:r w:rsidRPr="001A4755">
        <w:rPr>
          <w:rFonts w:asciiTheme="minorHAnsi" w:hAnsiTheme="minorHAnsi" w:cs="Arial"/>
          <w:sz w:val="24"/>
          <w:szCs w:val="24"/>
        </w:rPr>
        <w:t xml:space="preserve"> coordinación y cooperación entre las </w:t>
      </w:r>
      <w:r w:rsidR="000E0D22" w:rsidRPr="001A4755">
        <w:rPr>
          <w:rFonts w:asciiTheme="minorHAnsi" w:hAnsiTheme="minorHAnsi" w:cs="Arial"/>
          <w:sz w:val="24"/>
          <w:szCs w:val="24"/>
        </w:rPr>
        <w:t>S</w:t>
      </w:r>
      <w:r w:rsidRPr="001A4755">
        <w:rPr>
          <w:rFonts w:asciiTheme="minorHAnsi" w:hAnsiTheme="minorHAnsi" w:cs="Arial"/>
          <w:sz w:val="24"/>
          <w:szCs w:val="24"/>
        </w:rPr>
        <w:t>ecretarías de los convenios de químicos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 </w:t>
      </w:r>
      <w:r w:rsidRPr="001A4755">
        <w:rPr>
          <w:rFonts w:asciiTheme="minorHAnsi" w:hAnsiTheme="minorHAnsi" w:cs="Arial"/>
          <w:sz w:val="24"/>
          <w:szCs w:val="24"/>
        </w:rPr>
        <w:t xml:space="preserve">y </w:t>
      </w:r>
      <w:r w:rsidR="004A2D1F" w:rsidRPr="001A4755">
        <w:rPr>
          <w:rFonts w:asciiTheme="minorHAnsi" w:hAnsiTheme="minorHAnsi" w:cs="Arial"/>
          <w:sz w:val="24"/>
          <w:szCs w:val="24"/>
        </w:rPr>
        <w:t>desecho</w:t>
      </w:r>
      <w:r w:rsidRPr="001A4755">
        <w:rPr>
          <w:rFonts w:asciiTheme="minorHAnsi" w:hAnsiTheme="minorHAnsi" w:cs="Arial"/>
          <w:sz w:val="24"/>
          <w:szCs w:val="24"/>
        </w:rPr>
        <w:t xml:space="preserve">s, </w:t>
      </w:r>
      <w:r w:rsidR="00346862" w:rsidRPr="001A4755">
        <w:rPr>
          <w:rFonts w:asciiTheme="minorHAnsi" w:hAnsiTheme="minorHAnsi" w:cs="Arial"/>
          <w:sz w:val="24"/>
          <w:szCs w:val="24"/>
        </w:rPr>
        <w:t xml:space="preserve">y 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continuar alentando las Secretarías a proporcionar el </w:t>
      </w:r>
      <w:r w:rsidR="00F7386F" w:rsidRPr="001A4755">
        <w:rPr>
          <w:rFonts w:asciiTheme="minorHAnsi" w:hAnsiTheme="minorHAnsi" w:cs="Arial"/>
          <w:sz w:val="24"/>
          <w:szCs w:val="24"/>
        </w:rPr>
        <w:t>apoy</w:t>
      </w:r>
      <w:r w:rsidR="00190DA9" w:rsidRPr="001A4755">
        <w:rPr>
          <w:rFonts w:asciiTheme="minorHAnsi" w:hAnsiTheme="minorHAnsi" w:cs="Arial"/>
          <w:sz w:val="24"/>
          <w:szCs w:val="24"/>
        </w:rPr>
        <w:t>o necesario</w:t>
      </w:r>
      <w:r w:rsidR="00F7386F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F7386F" w:rsidRPr="001A4755">
        <w:rPr>
          <w:rFonts w:asciiTheme="minorHAnsi" w:hAnsiTheme="minorHAnsi" w:cs="Arial"/>
          <w:sz w:val="24"/>
          <w:szCs w:val="24"/>
        </w:rPr>
        <w:lastRenderedPageBreak/>
        <w:t xml:space="preserve">a los países de </w:t>
      </w:r>
      <w:r w:rsidR="00346862" w:rsidRPr="001A4755">
        <w:rPr>
          <w:rFonts w:asciiTheme="minorHAnsi" w:hAnsiTheme="minorHAnsi" w:cs="Arial"/>
          <w:sz w:val="24"/>
          <w:szCs w:val="24"/>
        </w:rPr>
        <w:t>la región de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F7386F" w:rsidRPr="001A4755">
        <w:rPr>
          <w:rFonts w:asciiTheme="minorHAnsi" w:hAnsiTheme="minorHAnsi" w:cs="Arial"/>
          <w:sz w:val="24"/>
          <w:szCs w:val="24"/>
        </w:rPr>
        <w:t xml:space="preserve">ALC para 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asegurar alcanzar </w:t>
      </w:r>
      <w:r w:rsidR="00F7386F" w:rsidRPr="001A4755">
        <w:rPr>
          <w:rFonts w:asciiTheme="minorHAnsi" w:hAnsiTheme="minorHAnsi" w:cs="Arial"/>
          <w:sz w:val="24"/>
          <w:szCs w:val="24"/>
        </w:rPr>
        <w:t>una efectiva coordinación y cooperación a nivel nacional y regional.</w:t>
      </w:r>
    </w:p>
    <w:p w14:paraId="32A417F2" w14:textId="77777777" w:rsidR="009C1FD1" w:rsidRPr="001A4755" w:rsidRDefault="009C1FD1" w:rsidP="001A4755">
      <w:pPr>
        <w:pStyle w:val="Prrafodelista"/>
        <w:rPr>
          <w:rFonts w:asciiTheme="minorHAnsi" w:hAnsiTheme="minorHAnsi" w:cs="Arial"/>
          <w:b/>
          <w:sz w:val="24"/>
          <w:szCs w:val="24"/>
        </w:rPr>
      </w:pPr>
    </w:p>
    <w:p w14:paraId="5C3760D9" w14:textId="5BE0046C" w:rsidR="00F7386F" w:rsidRPr="001A4755" w:rsidRDefault="00461472" w:rsidP="001A4755">
      <w:pPr>
        <w:pStyle w:val="Prrafodelista"/>
        <w:numPr>
          <w:ilvl w:val="0"/>
          <w:numId w:val="7"/>
        </w:num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Instar</w:t>
      </w:r>
      <w:r w:rsidRPr="001A4755">
        <w:rPr>
          <w:rFonts w:asciiTheme="minorHAnsi" w:hAnsiTheme="minorHAnsi" w:cs="Arial"/>
          <w:sz w:val="24"/>
          <w:szCs w:val="24"/>
        </w:rPr>
        <w:t xml:space="preserve"> a los países a incrementar sus esfuerzos </w:t>
      </w:r>
      <w:r w:rsidR="0020083C" w:rsidRPr="001A4755">
        <w:rPr>
          <w:rFonts w:asciiTheme="minorHAnsi" w:hAnsiTheme="minorHAnsi" w:cs="Arial"/>
          <w:sz w:val="24"/>
          <w:szCs w:val="24"/>
        </w:rPr>
        <w:t xml:space="preserve">individuales y colectivos </w:t>
      </w:r>
      <w:r w:rsidRPr="001A4755">
        <w:rPr>
          <w:rFonts w:asciiTheme="minorHAnsi" w:hAnsiTheme="minorHAnsi" w:cs="Arial"/>
          <w:sz w:val="24"/>
          <w:szCs w:val="24"/>
        </w:rPr>
        <w:t>y colaborar en la prevención</w:t>
      </w:r>
      <w:r w:rsidR="00F7386F" w:rsidRPr="001A4755">
        <w:rPr>
          <w:rFonts w:asciiTheme="minorHAnsi" w:hAnsiTheme="minorHAnsi" w:cs="Arial"/>
          <w:sz w:val="24"/>
          <w:szCs w:val="24"/>
        </w:rPr>
        <w:t xml:space="preserve">, minimización y recuperación de los </w:t>
      </w:r>
      <w:r w:rsidR="004A2D1F" w:rsidRPr="001A4755">
        <w:rPr>
          <w:rFonts w:asciiTheme="minorHAnsi" w:hAnsiTheme="minorHAnsi" w:cs="Arial"/>
          <w:sz w:val="24"/>
          <w:szCs w:val="24"/>
        </w:rPr>
        <w:t>desecho</w:t>
      </w:r>
      <w:r w:rsidR="00F7386F" w:rsidRPr="001A4755">
        <w:rPr>
          <w:rFonts w:asciiTheme="minorHAnsi" w:hAnsiTheme="minorHAnsi" w:cs="Arial"/>
          <w:sz w:val="24"/>
          <w:szCs w:val="24"/>
        </w:rPr>
        <w:t>s</w:t>
      </w:r>
      <w:r w:rsidR="0020083C" w:rsidRPr="001A4755">
        <w:rPr>
          <w:rFonts w:asciiTheme="minorHAnsi" w:hAnsiTheme="minorHAnsi" w:cs="Arial"/>
          <w:sz w:val="24"/>
          <w:szCs w:val="24"/>
        </w:rPr>
        <w:t xml:space="preserve"> peligrosos y otros desechos</w:t>
      </w:r>
      <w:r w:rsidR="00F7386F" w:rsidRPr="001A4755">
        <w:rPr>
          <w:rFonts w:asciiTheme="minorHAnsi" w:hAnsiTheme="minorHAnsi" w:cs="Arial"/>
          <w:sz w:val="24"/>
          <w:szCs w:val="24"/>
        </w:rPr>
        <w:t>, con arreglo a la Declaración de Cartagena</w:t>
      </w:r>
      <w:r w:rsidR="00F7386F" w:rsidRPr="001A4755">
        <w:rPr>
          <w:rStyle w:val="Refdenotaalpie"/>
          <w:rFonts w:asciiTheme="minorHAnsi" w:hAnsiTheme="minorHAnsi" w:cs="Arial"/>
          <w:sz w:val="24"/>
          <w:szCs w:val="24"/>
        </w:rPr>
        <w:footnoteReference w:id="1"/>
      </w:r>
      <w:r w:rsidR="00F7386F" w:rsidRPr="001A4755">
        <w:rPr>
          <w:rFonts w:asciiTheme="minorHAnsi" w:hAnsiTheme="minorHAnsi" w:cs="Arial"/>
          <w:sz w:val="24"/>
          <w:szCs w:val="24"/>
        </w:rPr>
        <w:t xml:space="preserve"> del Convenio de Basilea, así como en el </w:t>
      </w:r>
      <w:r w:rsidRPr="001A4755">
        <w:rPr>
          <w:rFonts w:asciiTheme="minorHAnsi" w:hAnsiTheme="minorHAnsi" w:cs="Arial"/>
          <w:sz w:val="24"/>
          <w:szCs w:val="24"/>
        </w:rPr>
        <w:t xml:space="preserve">control del tráfico ilícito de </w:t>
      </w:r>
      <w:r w:rsidR="004A2D1F" w:rsidRPr="001A4755">
        <w:rPr>
          <w:rFonts w:asciiTheme="minorHAnsi" w:hAnsiTheme="minorHAnsi" w:cs="Arial"/>
          <w:sz w:val="24"/>
          <w:szCs w:val="24"/>
        </w:rPr>
        <w:t>desecho</w:t>
      </w:r>
      <w:r w:rsidR="00F078D5" w:rsidRPr="001A4755">
        <w:rPr>
          <w:rFonts w:asciiTheme="minorHAnsi" w:hAnsiTheme="minorHAnsi" w:cs="Arial"/>
          <w:sz w:val="24"/>
          <w:szCs w:val="24"/>
        </w:rPr>
        <w:t>s peligros</w:t>
      </w:r>
      <w:r w:rsidR="003A2993" w:rsidRPr="001A4755">
        <w:rPr>
          <w:rFonts w:asciiTheme="minorHAnsi" w:hAnsiTheme="minorHAnsi" w:cs="Arial"/>
          <w:sz w:val="24"/>
          <w:szCs w:val="24"/>
        </w:rPr>
        <w:t>os</w:t>
      </w:r>
      <w:r w:rsidR="00F078D5" w:rsidRPr="001A4755">
        <w:rPr>
          <w:rFonts w:asciiTheme="minorHAnsi" w:hAnsiTheme="minorHAnsi" w:cs="Arial"/>
          <w:sz w:val="24"/>
          <w:szCs w:val="24"/>
        </w:rPr>
        <w:t xml:space="preserve"> y productos químicos</w:t>
      </w:r>
      <w:r w:rsidRPr="001A4755">
        <w:rPr>
          <w:rFonts w:asciiTheme="minorHAnsi" w:hAnsiTheme="minorHAnsi" w:cs="Arial"/>
          <w:sz w:val="24"/>
          <w:szCs w:val="24"/>
        </w:rPr>
        <w:t>.</w:t>
      </w:r>
    </w:p>
    <w:p w14:paraId="538B5F0A" w14:textId="77777777" w:rsidR="00F7386F" w:rsidRPr="001A4755" w:rsidRDefault="00F7386F" w:rsidP="001A4755">
      <w:pPr>
        <w:pStyle w:val="Prrafodelista"/>
        <w:rPr>
          <w:rFonts w:asciiTheme="minorHAnsi" w:hAnsiTheme="minorHAnsi" w:cs="Arial"/>
          <w:sz w:val="24"/>
          <w:szCs w:val="24"/>
        </w:rPr>
      </w:pPr>
    </w:p>
    <w:p w14:paraId="49152AB2" w14:textId="012BB397" w:rsidR="00CD66BA" w:rsidRPr="001A4755" w:rsidRDefault="00346862" w:rsidP="001A4755">
      <w:pPr>
        <w:pStyle w:val="Prrafodelista"/>
        <w:numPr>
          <w:ilvl w:val="0"/>
          <w:numId w:val="7"/>
        </w:num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Celebrar</w:t>
      </w:r>
      <w:r w:rsidR="003E7698" w:rsidRPr="001A4755">
        <w:rPr>
          <w:rFonts w:asciiTheme="minorHAnsi" w:hAnsiTheme="minorHAnsi" w:cs="Arial"/>
          <w:sz w:val="24"/>
          <w:szCs w:val="24"/>
        </w:rPr>
        <w:t xml:space="preserve"> la ampliación de la ventana de químicos del F</w:t>
      </w:r>
      <w:r w:rsidR="00C41D59" w:rsidRPr="001A4755">
        <w:rPr>
          <w:rFonts w:asciiTheme="minorHAnsi" w:hAnsiTheme="minorHAnsi" w:cs="Arial"/>
          <w:sz w:val="24"/>
          <w:szCs w:val="24"/>
        </w:rPr>
        <w:t xml:space="preserve">ondo para el </w:t>
      </w:r>
      <w:r w:rsidR="003E7698" w:rsidRPr="001A4755">
        <w:rPr>
          <w:rFonts w:asciiTheme="minorHAnsi" w:hAnsiTheme="minorHAnsi" w:cs="Arial"/>
          <w:sz w:val="24"/>
          <w:szCs w:val="24"/>
        </w:rPr>
        <w:t>M</w:t>
      </w:r>
      <w:r w:rsidR="00C41D59" w:rsidRPr="001A4755">
        <w:rPr>
          <w:rFonts w:asciiTheme="minorHAnsi" w:hAnsiTheme="minorHAnsi" w:cs="Arial"/>
          <w:sz w:val="24"/>
          <w:szCs w:val="24"/>
        </w:rPr>
        <w:t xml:space="preserve">edio </w:t>
      </w:r>
      <w:r w:rsidR="003E7698" w:rsidRPr="001A4755">
        <w:rPr>
          <w:rFonts w:asciiTheme="minorHAnsi" w:hAnsiTheme="minorHAnsi" w:cs="Arial"/>
          <w:sz w:val="24"/>
          <w:szCs w:val="24"/>
        </w:rPr>
        <w:t>A</w:t>
      </w:r>
      <w:r w:rsidR="00C41D59" w:rsidRPr="001A4755">
        <w:rPr>
          <w:rFonts w:asciiTheme="minorHAnsi" w:hAnsiTheme="minorHAnsi" w:cs="Arial"/>
          <w:sz w:val="24"/>
          <w:szCs w:val="24"/>
        </w:rPr>
        <w:t xml:space="preserve">mbiente </w:t>
      </w:r>
      <w:r w:rsidR="003E7698" w:rsidRPr="001A4755">
        <w:rPr>
          <w:rFonts w:asciiTheme="minorHAnsi" w:hAnsiTheme="minorHAnsi" w:cs="Arial"/>
          <w:sz w:val="24"/>
          <w:szCs w:val="24"/>
        </w:rPr>
        <w:t>M</w:t>
      </w:r>
      <w:r w:rsidR="00C41D59" w:rsidRPr="001A4755">
        <w:rPr>
          <w:rFonts w:asciiTheme="minorHAnsi" w:hAnsiTheme="minorHAnsi" w:cs="Arial"/>
          <w:sz w:val="24"/>
          <w:szCs w:val="24"/>
        </w:rPr>
        <w:t>undial,</w:t>
      </w:r>
      <w:r w:rsidR="003E7698" w:rsidRPr="001A4755">
        <w:rPr>
          <w:rFonts w:asciiTheme="minorHAnsi" w:hAnsiTheme="minorHAnsi" w:cs="Arial"/>
          <w:sz w:val="24"/>
          <w:szCs w:val="24"/>
        </w:rPr>
        <w:t xml:space="preserve"> y </w:t>
      </w:r>
      <w:r w:rsidRPr="001A4755">
        <w:rPr>
          <w:rFonts w:asciiTheme="minorHAnsi" w:hAnsiTheme="minorHAnsi" w:cs="Arial"/>
          <w:sz w:val="24"/>
          <w:szCs w:val="24"/>
        </w:rPr>
        <w:t>alentar</w:t>
      </w:r>
      <w:r w:rsidR="003E7698" w:rsidRPr="001A4755">
        <w:rPr>
          <w:rFonts w:asciiTheme="minorHAnsi" w:hAnsiTheme="minorHAnsi" w:cs="Arial"/>
          <w:sz w:val="24"/>
          <w:szCs w:val="24"/>
        </w:rPr>
        <w:t xml:space="preserve"> a continuar incrementando </w:t>
      </w:r>
      <w:r w:rsidR="004E026E" w:rsidRPr="001A4755">
        <w:rPr>
          <w:rFonts w:asciiTheme="minorHAnsi" w:hAnsiTheme="minorHAnsi" w:cs="Arial"/>
          <w:sz w:val="24"/>
          <w:szCs w:val="24"/>
        </w:rPr>
        <w:t xml:space="preserve">los fondos hasta el séptimo periodo de reposición y a seguir </w:t>
      </w:r>
      <w:r w:rsidR="006E29C7" w:rsidRPr="001A4755">
        <w:rPr>
          <w:rFonts w:asciiTheme="minorHAnsi" w:hAnsiTheme="minorHAnsi" w:cs="Arial"/>
          <w:sz w:val="24"/>
          <w:szCs w:val="24"/>
        </w:rPr>
        <w:t xml:space="preserve">trabajando en 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la financiación </w:t>
      </w:r>
      <w:r w:rsidR="006E29C7" w:rsidRPr="001A4755">
        <w:rPr>
          <w:rFonts w:asciiTheme="minorHAnsi" w:hAnsiTheme="minorHAnsi" w:cs="Arial"/>
          <w:sz w:val="24"/>
          <w:szCs w:val="24"/>
        </w:rPr>
        <w:t xml:space="preserve">de proyectos que generen co-beneficios para el conjunto de </w:t>
      </w:r>
      <w:r w:rsidR="003A2993" w:rsidRPr="001A4755">
        <w:rPr>
          <w:rFonts w:asciiTheme="minorHAnsi" w:hAnsiTheme="minorHAnsi" w:cs="Arial"/>
          <w:sz w:val="24"/>
          <w:szCs w:val="24"/>
        </w:rPr>
        <w:t xml:space="preserve">los </w:t>
      </w:r>
      <w:r w:rsidR="006E29C7" w:rsidRPr="001A4755">
        <w:rPr>
          <w:rFonts w:asciiTheme="minorHAnsi" w:hAnsiTheme="minorHAnsi" w:cs="Arial"/>
          <w:sz w:val="24"/>
          <w:szCs w:val="24"/>
        </w:rPr>
        <w:t xml:space="preserve">convenios </w:t>
      </w:r>
      <w:r w:rsidR="003A2993" w:rsidRPr="001A4755">
        <w:rPr>
          <w:rFonts w:asciiTheme="minorHAnsi" w:hAnsiTheme="minorHAnsi" w:cs="Arial"/>
          <w:sz w:val="24"/>
          <w:szCs w:val="24"/>
        </w:rPr>
        <w:t xml:space="preserve">sobre productos </w:t>
      </w:r>
      <w:r w:rsidR="006E29C7" w:rsidRPr="001A4755">
        <w:rPr>
          <w:rFonts w:asciiTheme="minorHAnsi" w:hAnsiTheme="minorHAnsi" w:cs="Arial"/>
          <w:sz w:val="24"/>
          <w:szCs w:val="24"/>
        </w:rPr>
        <w:t xml:space="preserve">químicos y </w:t>
      </w:r>
      <w:r w:rsidR="004A2D1F" w:rsidRPr="001A4755">
        <w:rPr>
          <w:rFonts w:asciiTheme="minorHAnsi" w:hAnsiTheme="minorHAnsi" w:cs="Arial"/>
          <w:sz w:val="24"/>
          <w:szCs w:val="24"/>
        </w:rPr>
        <w:t>desecho</w:t>
      </w:r>
      <w:r w:rsidR="006E29C7" w:rsidRPr="001A4755">
        <w:rPr>
          <w:rFonts w:asciiTheme="minorHAnsi" w:hAnsiTheme="minorHAnsi" w:cs="Arial"/>
          <w:sz w:val="24"/>
          <w:szCs w:val="24"/>
        </w:rPr>
        <w:t>s.</w:t>
      </w:r>
    </w:p>
    <w:p w14:paraId="2CEBDAF4" w14:textId="77777777" w:rsidR="00CD66BA" w:rsidRPr="001A4755" w:rsidRDefault="00CD66BA" w:rsidP="001A4755">
      <w:pPr>
        <w:pStyle w:val="Prrafodelista"/>
        <w:rPr>
          <w:rFonts w:asciiTheme="minorHAnsi" w:hAnsiTheme="minorHAnsi" w:cs="Arial"/>
          <w:sz w:val="24"/>
          <w:szCs w:val="24"/>
        </w:rPr>
      </w:pPr>
    </w:p>
    <w:p w14:paraId="24C9E64A" w14:textId="4782B805" w:rsidR="007014CE" w:rsidRPr="001A4755" w:rsidRDefault="00C41D59" w:rsidP="001A4755">
      <w:pPr>
        <w:pStyle w:val="Prrafodelista"/>
        <w:numPr>
          <w:ilvl w:val="0"/>
          <w:numId w:val="7"/>
        </w:num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Tomar especial atención</w:t>
      </w:r>
      <w:r w:rsidRPr="001A4755">
        <w:rPr>
          <w:rFonts w:asciiTheme="minorHAnsi" w:hAnsiTheme="minorHAnsi" w:cs="Arial"/>
          <w:sz w:val="24"/>
          <w:szCs w:val="24"/>
        </w:rPr>
        <w:t xml:space="preserve"> a </w:t>
      </w:r>
      <w:r w:rsidR="003C207B" w:rsidRPr="001A4755">
        <w:rPr>
          <w:rFonts w:asciiTheme="minorHAnsi" w:hAnsiTheme="minorHAnsi" w:cs="Arial"/>
          <w:sz w:val="24"/>
          <w:szCs w:val="24"/>
        </w:rPr>
        <w:t xml:space="preserve">las necesidades de </w:t>
      </w:r>
      <w:r w:rsidRPr="001A4755">
        <w:rPr>
          <w:rFonts w:asciiTheme="minorHAnsi" w:hAnsiTheme="minorHAnsi" w:cs="Arial"/>
          <w:sz w:val="24"/>
          <w:szCs w:val="24"/>
        </w:rPr>
        <w:t xml:space="preserve">los países en desarrollo sin litoral para </w:t>
      </w:r>
      <w:r w:rsidR="003C207B" w:rsidRPr="001A4755">
        <w:rPr>
          <w:rFonts w:asciiTheme="minorHAnsi" w:hAnsiTheme="minorHAnsi" w:cs="Arial"/>
          <w:sz w:val="24"/>
          <w:szCs w:val="24"/>
        </w:rPr>
        <w:t xml:space="preserve">asegurar </w:t>
      </w:r>
      <w:r w:rsidR="00FF20C2" w:rsidRPr="001A4755">
        <w:rPr>
          <w:rFonts w:asciiTheme="minorHAnsi" w:hAnsiTheme="minorHAnsi" w:cs="Arial"/>
          <w:sz w:val="24"/>
          <w:szCs w:val="24"/>
        </w:rPr>
        <w:t xml:space="preserve">la </w:t>
      </w:r>
      <w:r w:rsidRPr="001A4755">
        <w:rPr>
          <w:rFonts w:asciiTheme="minorHAnsi" w:hAnsiTheme="minorHAnsi" w:cs="Arial"/>
          <w:sz w:val="24"/>
          <w:szCs w:val="24"/>
        </w:rPr>
        <w:t xml:space="preserve">gestión adecuada de desechos peligrosos y en particular en el transporte transfronterizo de los mismos con destino a los sitios para su destrucción.  </w:t>
      </w:r>
    </w:p>
    <w:p w14:paraId="70946EAF" w14:textId="77777777" w:rsidR="00CF6A96" w:rsidRPr="001A4755" w:rsidRDefault="00CF6A96" w:rsidP="00D35319">
      <w:pPr>
        <w:spacing w:before="0"/>
        <w:rPr>
          <w:rFonts w:asciiTheme="minorHAnsi" w:hAnsiTheme="minorHAnsi" w:cs="Arial"/>
          <w:sz w:val="24"/>
          <w:szCs w:val="24"/>
        </w:rPr>
      </w:pPr>
    </w:p>
    <w:p w14:paraId="56251C86" w14:textId="77777777" w:rsidR="00461472" w:rsidRPr="001A4755" w:rsidRDefault="00F179BB" w:rsidP="001B5B06">
      <w:pPr>
        <w:spacing w:before="0"/>
        <w:jc w:val="left"/>
        <w:rPr>
          <w:rFonts w:asciiTheme="minorHAnsi" w:hAnsiTheme="minorHAnsi" w:cs="Arial"/>
          <w:b/>
          <w:i/>
          <w:sz w:val="24"/>
          <w:szCs w:val="24"/>
        </w:rPr>
      </w:pPr>
      <w:r w:rsidRPr="001A4755">
        <w:rPr>
          <w:rFonts w:asciiTheme="minorHAnsi" w:hAnsiTheme="minorHAnsi" w:cs="Arial"/>
          <w:b/>
          <w:i/>
          <w:sz w:val="24"/>
          <w:szCs w:val="24"/>
        </w:rPr>
        <w:t>M</w:t>
      </w:r>
      <w:r w:rsidR="00D92BA3" w:rsidRPr="001A4755">
        <w:rPr>
          <w:rFonts w:asciiTheme="minorHAnsi" w:hAnsiTheme="minorHAnsi" w:cs="Arial"/>
          <w:b/>
          <w:i/>
          <w:sz w:val="24"/>
          <w:szCs w:val="24"/>
        </w:rPr>
        <w:t>ercurio</w:t>
      </w:r>
      <w:r w:rsidR="001B5B06" w:rsidRPr="001A4755">
        <w:rPr>
          <w:rFonts w:asciiTheme="minorHAnsi" w:hAnsiTheme="minorHAnsi" w:cs="Arial"/>
          <w:b/>
          <w:i/>
          <w:sz w:val="24"/>
          <w:szCs w:val="24"/>
        </w:rPr>
        <w:t xml:space="preserve"> y Plomo</w:t>
      </w:r>
    </w:p>
    <w:p w14:paraId="68C431D2" w14:textId="77777777" w:rsidR="00461472" w:rsidRPr="001A4755" w:rsidRDefault="00461472" w:rsidP="00D35319">
      <w:pPr>
        <w:spacing w:before="0"/>
        <w:rPr>
          <w:rFonts w:asciiTheme="minorHAnsi" w:hAnsiTheme="minorHAnsi" w:cs="Arial"/>
          <w:b/>
          <w:sz w:val="24"/>
          <w:szCs w:val="24"/>
        </w:rPr>
      </w:pPr>
    </w:p>
    <w:p w14:paraId="49B829C5" w14:textId="7453CA27" w:rsidR="00B448BE" w:rsidRPr="001A4755" w:rsidRDefault="00A110EC" w:rsidP="00D35319">
      <w:p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Celebrando</w:t>
      </w:r>
      <w:r w:rsidR="00B448BE" w:rsidRPr="001A4755">
        <w:rPr>
          <w:rFonts w:asciiTheme="minorHAnsi" w:hAnsiTheme="minorHAnsi" w:cs="Arial"/>
          <w:sz w:val="24"/>
          <w:szCs w:val="24"/>
        </w:rPr>
        <w:t xml:space="preserve"> los progresos alcanzados 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hasta la fecha </w:t>
      </w:r>
      <w:r w:rsidR="00B448BE" w:rsidRPr="001A4755">
        <w:rPr>
          <w:rFonts w:asciiTheme="minorHAnsi" w:hAnsiTheme="minorHAnsi" w:cs="Arial"/>
          <w:sz w:val="24"/>
          <w:szCs w:val="24"/>
        </w:rPr>
        <w:t xml:space="preserve">por los países de la región en 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la </w:t>
      </w:r>
      <w:r w:rsidR="00B448BE" w:rsidRPr="001A4755">
        <w:rPr>
          <w:rFonts w:asciiTheme="minorHAnsi" w:hAnsiTheme="minorHAnsi" w:cs="Arial"/>
          <w:sz w:val="24"/>
          <w:szCs w:val="24"/>
        </w:rPr>
        <w:t xml:space="preserve">ratificación 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y aplicación temprana </w:t>
      </w:r>
      <w:r w:rsidR="00B448BE" w:rsidRPr="001A4755">
        <w:rPr>
          <w:rFonts w:asciiTheme="minorHAnsi" w:hAnsiTheme="minorHAnsi" w:cs="Arial"/>
          <w:sz w:val="24"/>
          <w:szCs w:val="24"/>
        </w:rPr>
        <w:t xml:space="preserve">del Convenio de Minamata sobre el Mercurio, así como 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las </w:t>
      </w:r>
      <w:r w:rsidR="00B448BE" w:rsidRPr="001A4755">
        <w:rPr>
          <w:rFonts w:asciiTheme="minorHAnsi" w:hAnsiTheme="minorHAnsi" w:cs="Arial"/>
          <w:sz w:val="24"/>
          <w:szCs w:val="24"/>
        </w:rPr>
        <w:t xml:space="preserve">medidas 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adoptadas a nivel nacional y regional </w:t>
      </w:r>
      <w:r w:rsidR="00B448BE" w:rsidRPr="001A4755">
        <w:rPr>
          <w:rFonts w:asciiTheme="minorHAnsi" w:hAnsiTheme="minorHAnsi" w:cs="Arial"/>
          <w:sz w:val="24"/>
          <w:szCs w:val="24"/>
        </w:rPr>
        <w:t>para minimizar los riesgos de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 la exposición a</w:t>
      </w:r>
      <w:r w:rsidR="00B448BE" w:rsidRPr="001A4755">
        <w:rPr>
          <w:rFonts w:asciiTheme="minorHAnsi" w:hAnsiTheme="minorHAnsi" w:cs="Arial"/>
          <w:sz w:val="24"/>
          <w:szCs w:val="24"/>
        </w:rPr>
        <w:t xml:space="preserve">l mercurio 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y los compuestos de mercurio </w:t>
      </w:r>
      <w:r w:rsidR="00B448BE" w:rsidRPr="001A4755">
        <w:rPr>
          <w:rFonts w:asciiTheme="minorHAnsi" w:hAnsiTheme="minorHAnsi" w:cs="Arial"/>
          <w:sz w:val="24"/>
          <w:szCs w:val="24"/>
        </w:rPr>
        <w:t>sobre la salud y el medio ambiente;</w:t>
      </w:r>
    </w:p>
    <w:p w14:paraId="3927344C" w14:textId="77777777" w:rsidR="00B448BE" w:rsidRPr="001A4755" w:rsidRDefault="00B448BE" w:rsidP="00D35319">
      <w:pPr>
        <w:spacing w:before="0"/>
        <w:rPr>
          <w:rFonts w:asciiTheme="minorHAnsi" w:hAnsiTheme="minorHAnsi" w:cs="Arial"/>
          <w:sz w:val="24"/>
          <w:szCs w:val="24"/>
        </w:rPr>
      </w:pPr>
    </w:p>
    <w:p w14:paraId="300E1742" w14:textId="715B60D3" w:rsidR="00604B78" w:rsidRPr="001A4755" w:rsidRDefault="00604B78" w:rsidP="00D35319">
      <w:pPr>
        <w:pStyle w:val="Textocomentario"/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Reconociend</w:t>
      </w:r>
      <w:r w:rsidR="00B448BE" w:rsidRPr="001A4755">
        <w:rPr>
          <w:rFonts w:asciiTheme="minorHAnsi" w:hAnsiTheme="minorHAnsi" w:cs="Arial"/>
          <w:b/>
          <w:sz w:val="24"/>
          <w:szCs w:val="24"/>
        </w:rPr>
        <w:t xml:space="preserve">o </w:t>
      </w:r>
      <w:r w:rsidR="00B448BE" w:rsidRPr="001A4755">
        <w:rPr>
          <w:rFonts w:asciiTheme="minorHAnsi" w:hAnsiTheme="minorHAnsi" w:cs="Arial"/>
          <w:sz w:val="24"/>
          <w:szCs w:val="24"/>
        </w:rPr>
        <w:t xml:space="preserve">los retos y las oportunidades que plantea la aplicación de las disposiciones del Convenio </w:t>
      </w:r>
      <w:r w:rsidR="001B5B06" w:rsidRPr="001A4755">
        <w:rPr>
          <w:rFonts w:asciiTheme="minorHAnsi" w:hAnsiTheme="minorHAnsi" w:cs="Arial"/>
          <w:sz w:val="24"/>
          <w:szCs w:val="24"/>
        </w:rPr>
        <w:t xml:space="preserve">de Minamata </w:t>
      </w:r>
      <w:r w:rsidR="00B448BE" w:rsidRPr="001A4755">
        <w:rPr>
          <w:rFonts w:asciiTheme="minorHAnsi" w:hAnsiTheme="minorHAnsi" w:cs="Arial"/>
          <w:sz w:val="24"/>
          <w:szCs w:val="24"/>
        </w:rPr>
        <w:t xml:space="preserve">una vez que entre en vigor, y las necesidades de 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los países de mayor </w:t>
      </w:r>
      <w:r w:rsidR="00B448BE" w:rsidRPr="001A4755">
        <w:rPr>
          <w:rFonts w:asciiTheme="minorHAnsi" w:hAnsiTheme="minorHAnsi" w:cs="Arial"/>
          <w:sz w:val="24"/>
          <w:szCs w:val="24"/>
        </w:rPr>
        <w:t xml:space="preserve">desarrollo de </w:t>
      </w:r>
      <w:r w:rsidR="00190DA9" w:rsidRPr="001A4755">
        <w:rPr>
          <w:rFonts w:asciiTheme="minorHAnsi" w:hAnsiTheme="minorHAnsi" w:cs="Arial"/>
          <w:sz w:val="24"/>
          <w:szCs w:val="24"/>
        </w:rPr>
        <w:t xml:space="preserve">su </w:t>
      </w:r>
      <w:r w:rsidR="00B448BE" w:rsidRPr="001A4755">
        <w:rPr>
          <w:rFonts w:asciiTheme="minorHAnsi" w:hAnsiTheme="minorHAnsi" w:cs="Arial"/>
          <w:sz w:val="24"/>
          <w:szCs w:val="24"/>
        </w:rPr>
        <w:t>capacidad legislativa, institucional y técnica</w:t>
      </w:r>
      <w:r w:rsidR="008B0B7B" w:rsidRPr="001A4755">
        <w:rPr>
          <w:rFonts w:asciiTheme="minorHAnsi" w:hAnsiTheme="minorHAnsi" w:cs="Arial"/>
          <w:sz w:val="24"/>
          <w:szCs w:val="24"/>
        </w:rPr>
        <w:t>, para lo cual se requiere contar con apoyo técnico y financiero de organismos multilaterales, regionales y nacionales;</w:t>
      </w:r>
    </w:p>
    <w:p w14:paraId="279F1C0A" w14:textId="77777777" w:rsidR="001B5B06" w:rsidRPr="001A4755" w:rsidRDefault="001B5B06" w:rsidP="00D35319">
      <w:pPr>
        <w:pStyle w:val="Textocomentario"/>
        <w:spacing w:before="0"/>
        <w:rPr>
          <w:rFonts w:asciiTheme="minorHAnsi" w:hAnsiTheme="minorHAnsi" w:cs="Arial"/>
          <w:sz w:val="24"/>
          <w:szCs w:val="24"/>
        </w:rPr>
      </w:pPr>
    </w:p>
    <w:p w14:paraId="1E03760A" w14:textId="77777777" w:rsidR="001B5B06" w:rsidRPr="001A4755" w:rsidRDefault="001B5B06" w:rsidP="00D35319">
      <w:pPr>
        <w:pStyle w:val="Textocomentario"/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Conscientes</w:t>
      </w:r>
      <w:r w:rsidRPr="001A4755">
        <w:rPr>
          <w:rFonts w:asciiTheme="minorHAnsi" w:hAnsiTheme="minorHAnsi" w:cs="Arial"/>
          <w:sz w:val="24"/>
          <w:szCs w:val="24"/>
        </w:rPr>
        <w:t xml:space="preserve"> de los graves riesgos sobre la salud y el medio ambiente asociados a la exposición al plomo</w:t>
      </w:r>
      <w:r w:rsidR="00D30CDD" w:rsidRPr="001A4755">
        <w:rPr>
          <w:rFonts w:asciiTheme="minorHAnsi" w:hAnsiTheme="minorHAnsi" w:cs="Arial"/>
          <w:sz w:val="24"/>
          <w:szCs w:val="24"/>
        </w:rPr>
        <w:t>, particularmente en la población infantil</w:t>
      </w:r>
      <w:r w:rsidRPr="001A4755">
        <w:rPr>
          <w:rFonts w:asciiTheme="minorHAnsi" w:hAnsiTheme="minorHAnsi" w:cs="Arial"/>
          <w:sz w:val="24"/>
          <w:szCs w:val="24"/>
        </w:rPr>
        <w:t xml:space="preserve">; </w:t>
      </w:r>
    </w:p>
    <w:p w14:paraId="05D41F46" w14:textId="77777777" w:rsidR="00B448BE" w:rsidRPr="001A4755" w:rsidRDefault="00B448BE" w:rsidP="00D35319">
      <w:pPr>
        <w:pStyle w:val="Textocomentario"/>
        <w:spacing w:before="0"/>
        <w:rPr>
          <w:rFonts w:asciiTheme="minorHAnsi" w:hAnsiTheme="minorHAnsi" w:cs="Arial"/>
          <w:sz w:val="24"/>
          <w:szCs w:val="24"/>
        </w:rPr>
      </w:pPr>
    </w:p>
    <w:p w14:paraId="35C07867" w14:textId="27283C59" w:rsidR="009442C8" w:rsidRPr="001A4755" w:rsidRDefault="009442C8" w:rsidP="009442C8">
      <w:pPr>
        <w:spacing w:before="0"/>
        <w:jc w:val="center"/>
        <w:rPr>
          <w:rFonts w:asciiTheme="minorHAnsi" w:hAnsiTheme="minorHAnsi" w:cs="Arial"/>
          <w:b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Decide</w:t>
      </w:r>
      <w:r w:rsidR="00076E38" w:rsidRPr="001A4755">
        <w:rPr>
          <w:rFonts w:asciiTheme="minorHAnsi" w:hAnsiTheme="minorHAnsi" w:cs="Arial"/>
          <w:b/>
          <w:sz w:val="24"/>
          <w:szCs w:val="24"/>
        </w:rPr>
        <w:t>n</w:t>
      </w:r>
    </w:p>
    <w:p w14:paraId="078190C3" w14:textId="77777777" w:rsidR="00240042" w:rsidRPr="001A4755" w:rsidRDefault="00240042" w:rsidP="009442C8">
      <w:pPr>
        <w:spacing w:before="0"/>
        <w:jc w:val="center"/>
        <w:rPr>
          <w:rFonts w:asciiTheme="minorHAnsi" w:hAnsiTheme="minorHAnsi" w:cs="Arial"/>
          <w:sz w:val="24"/>
          <w:szCs w:val="24"/>
        </w:rPr>
      </w:pPr>
    </w:p>
    <w:p w14:paraId="7A1AA777" w14:textId="2EA3BE42" w:rsidR="00461472" w:rsidRPr="001A4755" w:rsidRDefault="00B37DD8" w:rsidP="001A4755">
      <w:pPr>
        <w:pStyle w:val="Prrafodelista"/>
        <w:numPr>
          <w:ilvl w:val="0"/>
          <w:numId w:val="8"/>
        </w:numPr>
        <w:tabs>
          <w:tab w:val="left" w:pos="1980"/>
        </w:tabs>
        <w:spacing w:before="0"/>
        <w:ind w:left="360"/>
        <w:rPr>
          <w:rFonts w:asciiTheme="minorHAnsi" w:hAnsiTheme="minorHAnsi" w:cs="Arial"/>
          <w:bCs/>
          <w:sz w:val="24"/>
          <w:szCs w:val="24"/>
        </w:rPr>
      </w:pPr>
      <w:r w:rsidRPr="001A4755">
        <w:rPr>
          <w:rFonts w:asciiTheme="minorHAnsi" w:hAnsiTheme="minorHAnsi" w:cs="Arial"/>
          <w:b/>
          <w:bCs/>
          <w:sz w:val="24"/>
          <w:szCs w:val="24"/>
        </w:rPr>
        <w:t>Continuar alentando</w:t>
      </w:r>
      <w:r w:rsidR="00461472" w:rsidRPr="001A475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461472" w:rsidRPr="001A4755">
        <w:rPr>
          <w:rFonts w:asciiTheme="minorHAnsi" w:hAnsiTheme="minorHAnsi" w:cs="Arial"/>
          <w:bCs/>
          <w:sz w:val="24"/>
          <w:szCs w:val="24"/>
        </w:rPr>
        <w:t xml:space="preserve">a los países de la región a que </w:t>
      </w:r>
      <w:r w:rsidR="006E29C7" w:rsidRPr="001A4755">
        <w:rPr>
          <w:rFonts w:asciiTheme="minorHAnsi" w:hAnsiTheme="minorHAnsi" w:cs="Arial"/>
          <w:bCs/>
          <w:sz w:val="24"/>
          <w:szCs w:val="24"/>
        </w:rPr>
        <w:t>adopten</w:t>
      </w:r>
      <w:r w:rsidR="00461472" w:rsidRPr="001A4755">
        <w:rPr>
          <w:rFonts w:asciiTheme="minorHAnsi" w:hAnsiTheme="minorHAnsi" w:cs="Arial"/>
          <w:bCs/>
          <w:sz w:val="24"/>
          <w:szCs w:val="24"/>
        </w:rPr>
        <w:t xml:space="preserve"> las medidas necesarias para ratificar, aceptar, aprobar o adherirse al Convenio de Minamata sobre el Mercurio, contribuyendo así a su pronta entrada en vigor.</w:t>
      </w:r>
    </w:p>
    <w:p w14:paraId="6B978B4C" w14:textId="77777777" w:rsidR="00B37DD8" w:rsidRPr="001A4755" w:rsidRDefault="00B37DD8" w:rsidP="001A4755">
      <w:pPr>
        <w:tabs>
          <w:tab w:val="left" w:pos="1980"/>
        </w:tabs>
        <w:spacing w:before="0"/>
        <w:rPr>
          <w:rFonts w:asciiTheme="minorHAnsi" w:hAnsiTheme="minorHAnsi" w:cs="Arial"/>
          <w:bCs/>
          <w:sz w:val="24"/>
          <w:szCs w:val="24"/>
        </w:rPr>
      </w:pPr>
    </w:p>
    <w:p w14:paraId="2FC7C13F" w14:textId="4404BA47" w:rsidR="007014CE" w:rsidRPr="001A4755" w:rsidRDefault="00461472" w:rsidP="001A4755">
      <w:pPr>
        <w:pStyle w:val="Textocomentario"/>
        <w:numPr>
          <w:ilvl w:val="0"/>
          <w:numId w:val="8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lastRenderedPageBreak/>
        <w:t>Cooperar</w:t>
      </w:r>
      <w:r w:rsidRPr="001A4755">
        <w:rPr>
          <w:rFonts w:asciiTheme="minorHAnsi" w:hAnsiTheme="minorHAnsi" w:cs="Arial"/>
          <w:sz w:val="24"/>
          <w:szCs w:val="24"/>
        </w:rPr>
        <w:t xml:space="preserve"> con otros gobiernos </w:t>
      </w:r>
      <w:r w:rsidR="00335E02" w:rsidRPr="001A4755">
        <w:rPr>
          <w:rFonts w:asciiTheme="minorHAnsi" w:hAnsiTheme="minorHAnsi" w:cs="Arial"/>
          <w:sz w:val="24"/>
          <w:szCs w:val="24"/>
        </w:rPr>
        <w:t xml:space="preserve">de la región </w:t>
      </w:r>
      <w:r w:rsidRPr="001A4755">
        <w:rPr>
          <w:rFonts w:asciiTheme="minorHAnsi" w:hAnsiTheme="minorHAnsi" w:cs="Arial"/>
          <w:sz w:val="24"/>
          <w:szCs w:val="24"/>
        </w:rPr>
        <w:t>y actores en</w:t>
      </w:r>
      <w:r w:rsidR="00DC1D13" w:rsidRPr="001A4755">
        <w:rPr>
          <w:rFonts w:asciiTheme="minorHAnsi" w:hAnsiTheme="minorHAnsi" w:cs="Arial"/>
          <w:sz w:val="24"/>
          <w:szCs w:val="24"/>
        </w:rPr>
        <w:t xml:space="preserve"> diferentes </w:t>
      </w:r>
      <w:r w:rsidR="007D3285" w:rsidRPr="001A4755">
        <w:rPr>
          <w:rFonts w:asciiTheme="minorHAnsi" w:hAnsiTheme="minorHAnsi" w:cs="Arial"/>
          <w:sz w:val="24"/>
          <w:szCs w:val="24"/>
        </w:rPr>
        <w:t>áreas</w:t>
      </w:r>
      <w:r w:rsidR="00DC1D13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B37DD8" w:rsidRPr="001A4755">
        <w:rPr>
          <w:rFonts w:asciiTheme="minorHAnsi" w:hAnsiTheme="minorHAnsi" w:cs="Arial"/>
          <w:sz w:val="24"/>
          <w:szCs w:val="24"/>
        </w:rPr>
        <w:t>relacionadas con las disposiciones del Convenio</w:t>
      </w:r>
      <w:r w:rsidR="00D30CDD" w:rsidRPr="001A4755">
        <w:rPr>
          <w:rFonts w:asciiTheme="minorHAnsi" w:hAnsiTheme="minorHAnsi" w:cs="Arial"/>
          <w:sz w:val="24"/>
          <w:szCs w:val="24"/>
        </w:rPr>
        <w:t xml:space="preserve"> de Minamata</w:t>
      </w:r>
      <w:r w:rsidR="00B37DD8" w:rsidRPr="001A4755">
        <w:rPr>
          <w:rFonts w:asciiTheme="minorHAnsi" w:hAnsiTheme="minorHAnsi" w:cs="Arial"/>
          <w:sz w:val="24"/>
          <w:szCs w:val="24"/>
        </w:rPr>
        <w:t xml:space="preserve">, </w:t>
      </w:r>
      <w:r w:rsidR="00DC1D13" w:rsidRPr="001A4755">
        <w:rPr>
          <w:rFonts w:asciiTheme="minorHAnsi" w:hAnsiTheme="minorHAnsi" w:cs="Arial"/>
          <w:sz w:val="24"/>
          <w:szCs w:val="24"/>
        </w:rPr>
        <w:t>tales como</w:t>
      </w:r>
      <w:r w:rsidR="00B37DD8" w:rsidRPr="001A4755">
        <w:rPr>
          <w:rFonts w:asciiTheme="minorHAnsi" w:hAnsiTheme="minorHAnsi" w:cs="Arial"/>
          <w:sz w:val="24"/>
          <w:szCs w:val="24"/>
        </w:rPr>
        <w:t xml:space="preserve"> la preparación de inventarios, el desarrollo de estrategias y planes </w:t>
      </w:r>
      <w:r w:rsidR="00907910" w:rsidRPr="001A4755">
        <w:rPr>
          <w:rFonts w:asciiTheme="minorHAnsi" w:hAnsiTheme="minorHAnsi" w:cs="Arial"/>
          <w:sz w:val="24"/>
          <w:szCs w:val="24"/>
        </w:rPr>
        <w:t>nacionales y sub</w:t>
      </w:r>
      <w:r w:rsidR="002D475D" w:rsidRPr="001A4755">
        <w:rPr>
          <w:rFonts w:asciiTheme="minorHAnsi" w:hAnsiTheme="minorHAnsi" w:cs="Arial"/>
          <w:sz w:val="24"/>
          <w:szCs w:val="24"/>
        </w:rPr>
        <w:t>-</w:t>
      </w:r>
      <w:r w:rsidR="00907910" w:rsidRPr="001A4755">
        <w:rPr>
          <w:rFonts w:asciiTheme="minorHAnsi" w:hAnsiTheme="minorHAnsi" w:cs="Arial"/>
          <w:sz w:val="24"/>
          <w:szCs w:val="24"/>
        </w:rPr>
        <w:t xml:space="preserve">regionales </w:t>
      </w:r>
      <w:r w:rsidR="00B37DD8" w:rsidRPr="001A4755">
        <w:rPr>
          <w:rFonts w:asciiTheme="minorHAnsi" w:hAnsiTheme="minorHAnsi" w:cs="Arial"/>
          <w:sz w:val="24"/>
          <w:szCs w:val="24"/>
        </w:rPr>
        <w:t>para reducir el uso</w:t>
      </w:r>
      <w:r w:rsidR="006E29C7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3E7698" w:rsidRPr="001A4755">
        <w:rPr>
          <w:rFonts w:asciiTheme="minorHAnsi" w:hAnsiTheme="minorHAnsi" w:cs="Arial"/>
          <w:sz w:val="24"/>
          <w:szCs w:val="24"/>
        </w:rPr>
        <w:t>y eventual eliminación</w:t>
      </w:r>
      <w:r w:rsidR="000640A6" w:rsidRPr="001A4755">
        <w:rPr>
          <w:rFonts w:asciiTheme="minorHAnsi" w:hAnsiTheme="minorHAnsi" w:cs="Arial"/>
          <w:sz w:val="24"/>
          <w:szCs w:val="24"/>
        </w:rPr>
        <w:t>, cuando sea posible,</w:t>
      </w:r>
      <w:r w:rsidR="003E7698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6E29C7" w:rsidRPr="001A4755">
        <w:rPr>
          <w:rFonts w:asciiTheme="minorHAnsi" w:hAnsiTheme="minorHAnsi" w:cs="Arial"/>
          <w:sz w:val="24"/>
          <w:szCs w:val="24"/>
        </w:rPr>
        <w:t>de</w:t>
      </w:r>
      <w:r w:rsidR="003E7698" w:rsidRPr="001A4755">
        <w:rPr>
          <w:rFonts w:asciiTheme="minorHAnsi" w:hAnsiTheme="minorHAnsi" w:cs="Arial"/>
          <w:sz w:val="24"/>
          <w:szCs w:val="24"/>
        </w:rPr>
        <w:t>l</w:t>
      </w:r>
      <w:r w:rsidR="006E29C7" w:rsidRPr="001A4755">
        <w:rPr>
          <w:rFonts w:asciiTheme="minorHAnsi" w:hAnsiTheme="minorHAnsi" w:cs="Arial"/>
          <w:sz w:val="24"/>
          <w:szCs w:val="24"/>
        </w:rPr>
        <w:t xml:space="preserve"> mercurio en la minería artesanal y en pequeña escala de oro, </w:t>
      </w:r>
      <w:r w:rsidR="00B37DD8" w:rsidRPr="001A4755">
        <w:rPr>
          <w:rFonts w:asciiTheme="minorHAnsi" w:hAnsiTheme="minorHAnsi" w:cs="Arial"/>
          <w:sz w:val="24"/>
          <w:szCs w:val="24"/>
        </w:rPr>
        <w:t xml:space="preserve">las emisiones y liberaciones de mercurio, </w:t>
      </w:r>
      <w:r w:rsidR="008A69E1" w:rsidRPr="001A4755">
        <w:rPr>
          <w:rFonts w:asciiTheme="minorHAnsi" w:hAnsiTheme="minorHAnsi" w:cs="Arial"/>
          <w:sz w:val="24"/>
          <w:szCs w:val="24"/>
        </w:rPr>
        <w:t xml:space="preserve">la rehabilitación de </w:t>
      </w:r>
      <w:r w:rsidR="003E7698" w:rsidRPr="001A4755">
        <w:rPr>
          <w:rFonts w:asciiTheme="minorHAnsi" w:hAnsiTheme="minorHAnsi" w:cs="Arial"/>
          <w:sz w:val="24"/>
          <w:szCs w:val="24"/>
        </w:rPr>
        <w:t>sitios</w:t>
      </w:r>
      <w:r w:rsidR="008A69E1" w:rsidRPr="001A4755">
        <w:rPr>
          <w:rFonts w:asciiTheme="minorHAnsi" w:hAnsiTheme="minorHAnsi" w:cs="Arial"/>
          <w:sz w:val="24"/>
          <w:szCs w:val="24"/>
        </w:rPr>
        <w:t xml:space="preserve"> contaminados, </w:t>
      </w:r>
      <w:r w:rsidR="00B37DD8" w:rsidRPr="001A4755">
        <w:rPr>
          <w:rFonts w:asciiTheme="minorHAnsi" w:hAnsiTheme="minorHAnsi" w:cs="Arial"/>
          <w:sz w:val="24"/>
          <w:szCs w:val="24"/>
        </w:rPr>
        <w:t xml:space="preserve">el control del comercio </w:t>
      </w:r>
      <w:r w:rsidR="006E29C7" w:rsidRPr="001A4755">
        <w:rPr>
          <w:rFonts w:asciiTheme="minorHAnsi" w:hAnsiTheme="minorHAnsi" w:cs="Arial"/>
          <w:sz w:val="24"/>
          <w:szCs w:val="24"/>
        </w:rPr>
        <w:t xml:space="preserve">legal e ilegal </w:t>
      </w:r>
      <w:r w:rsidR="00B37DD8" w:rsidRPr="001A4755">
        <w:rPr>
          <w:rFonts w:asciiTheme="minorHAnsi" w:hAnsiTheme="minorHAnsi" w:cs="Arial"/>
          <w:sz w:val="24"/>
          <w:szCs w:val="24"/>
        </w:rPr>
        <w:t xml:space="preserve">de mercurio, el almacenamiento y gestión racional de los desechos de mercurio. </w:t>
      </w:r>
    </w:p>
    <w:p w14:paraId="1D4D5140" w14:textId="77777777" w:rsidR="00E87838" w:rsidRPr="001A4755" w:rsidRDefault="00E87838" w:rsidP="00E87838">
      <w:pPr>
        <w:spacing w:before="0"/>
        <w:rPr>
          <w:rFonts w:asciiTheme="minorHAnsi" w:hAnsiTheme="minorHAnsi" w:cs="Arial"/>
          <w:sz w:val="24"/>
          <w:szCs w:val="24"/>
        </w:rPr>
      </w:pPr>
    </w:p>
    <w:p w14:paraId="3A32C30A" w14:textId="052A95D5" w:rsidR="001E2507" w:rsidRPr="001A4755" w:rsidRDefault="00CD2119" w:rsidP="008A69E1">
      <w:pPr>
        <w:pStyle w:val="Textocomentario"/>
        <w:numPr>
          <w:ilvl w:val="0"/>
          <w:numId w:val="8"/>
        </w:num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Invitar</w:t>
      </w:r>
      <w:r w:rsidRPr="001A4755">
        <w:rPr>
          <w:rFonts w:asciiTheme="minorHAnsi" w:hAnsiTheme="minorHAnsi" w:cs="Arial"/>
          <w:sz w:val="24"/>
          <w:szCs w:val="24"/>
        </w:rPr>
        <w:t xml:space="preserve"> al </w:t>
      </w:r>
      <w:r w:rsidR="00E87838" w:rsidRPr="001A4755">
        <w:rPr>
          <w:rFonts w:asciiTheme="minorHAnsi" w:hAnsiTheme="minorHAnsi" w:cs="Arial"/>
          <w:sz w:val="24"/>
          <w:szCs w:val="24"/>
        </w:rPr>
        <w:t xml:space="preserve">PNUMA </w:t>
      </w:r>
      <w:r w:rsidRPr="001A4755">
        <w:rPr>
          <w:rFonts w:asciiTheme="minorHAnsi" w:hAnsiTheme="minorHAnsi" w:cs="Arial"/>
          <w:sz w:val="24"/>
          <w:szCs w:val="24"/>
        </w:rPr>
        <w:t xml:space="preserve">a continuar apoyando </w:t>
      </w:r>
      <w:r w:rsidR="00E87838" w:rsidRPr="001A4755">
        <w:rPr>
          <w:rFonts w:asciiTheme="minorHAnsi" w:hAnsiTheme="minorHAnsi" w:cs="Arial"/>
          <w:sz w:val="24"/>
          <w:szCs w:val="24"/>
        </w:rPr>
        <w:t xml:space="preserve">a los gobiernos de la región </w:t>
      </w:r>
      <w:r w:rsidR="0003088F" w:rsidRPr="001A4755">
        <w:rPr>
          <w:rFonts w:asciiTheme="minorHAnsi" w:hAnsiTheme="minorHAnsi" w:cs="Arial"/>
          <w:sz w:val="24"/>
          <w:szCs w:val="24"/>
        </w:rPr>
        <w:t xml:space="preserve">en el </w:t>
      </w:r>
      <w:r w:rsidR="001E2507" w:rsidRPr="001A4755">
        <w:rPr>
          <w:rFonts w:asciiTheme="minorHAnsi" w:hAnsiTheme="minorHAnsi" w:cs="Arial"/>
          <w:sz w:val="24"/>
          <w:szCs w:val="24"/>
        </w:rPr>
        <w:t>desarrollo de un mecanismo</w:t>
      </w:r>
      <w:r w:rsidR="003348EE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1E2507" w:rsidRPr="001A4755">
        <w:rPr>
          <w:rFonts w:asciiTheme="minorHAnsi" w:hAnsiTheme="minorHAnsi" w:cs="Arial"/>
          <w:sz w:val="24"/>
          <w:szCs w:val="24"/>
        </w:rPr>
        <w:t xml:space="preserve">de </w:t>
      </w:r>
      <w:r w:rsidR="0003088F" w:rsidRPr="001A4755">
        <w:rPr>
          <w:rFonts w:asciiTheme="minorHAnsi" w:hAnsiTheme="minorHAnsi" w:cs="Arial"/>
          <w:sz w:val="24"/>
          <w:szCs w:val="24"/>
        </w:rPr>
        <w:t xml:space="preserve">intercambio de información </w:t>
      </w:r>
      <w:r w:rsidR="001E2507" w:rsidRPr="001A4755">
        <w:rPr>
          <w:rFonts w:asciiTheme="minorHAnsi" w:hAnsiTheme="minorHAnsi" w:cs="Arial"/>
          <w:sz w:val="24"/>
          <w:szCs w:val="24"/>
        </w:rPr>
        <w:t>sobre aspectos prioritarios relacionados con el mercurio</w:t>
      </w:r>
      <w:r w:rsidR="008A69E1" w:rsidRPr="001A4755">
        <w:rPr>
          <w:rFonts w:asciiTheme="minorHAnsi" w:hAnsiTheme="minorHAnsi" w:cs="Arial"/>
          <w:sz w:val="24"/>
          <w:szCs w:val="24"/>
        </w:rPr>
        <w:t xml:space="preserve">, en particular los temas de rehabilitación de sitios contaminados, el manejo del mercurio en los ecosistemas fluviales así como la reducción </w:t>
      </w:r>
      <w:r w:rsidR="003E7698" w:rsidRPr="001A4755">
        <w:rPr>
          <w:rFonts w:asciiTheme="minorHAnsi" w:hAnsiTheme="minorHAnsi" w:cs="Arial"/>
          <w:sz w:val="24"/>
          <w:szCs w:val="24"/>
        </w:rPr>
        <w:t>y eventual eliminación</w:t>
      </w:r>
      <w:r w:rsidR="000640A6" w:rsidRPr="001A4755">
        <w:rPr>
          <w:rFonts w:asciiTheme="minorHAnsi" w:hAnsiTheme="minorHAnsi" w:cs="Arial"/>
          <w:sz w:val="24"/>
          <w:szCs w:val="24"/>
        </w:rPr>
        <w:t>, cuando sea posible,</w:t>
      </w:r>
      <w:r w:rsidR="003E7698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8A69E1" w:rsidRPr="001A4755">
        <w:rPr>
          <w:rFonts w:asciiTheme="minorHAnsi" w:hAnsiTheme="minorHAnsi" w:cs="Arial"/>
          <w:sz w:val="24"/>
          <w:szCs w:val="24"/>
        </w:rPr>
        <w:t>del mercurio en la minería artesanal</w:t>
      </w:r>
      <w:r w:rsidR="001E2507" w:rsidRPr="001A4755">
        <w:rPr>
          <w:rFonts w:asciiTheme="minorHAnsi" w:hAnsiTheme="minorHAnsi" w:cs="Arial"/>
          <w:sz w:val="24"/>
          <w:szCs w:val="24"/>
        </w:rPr>
        <w:t xml:space="preserve">. </w:t>
      </w:r>
    </w:p>
    <w:p w14:paraId="487138B7" w14:textId="77777777" w:rsidR="001B5B06" w:rsidRPr="001A4755" w:rsidRDefault="001B5B06" w:rsidP="00D30CDD">
      <w:pPr>
        <w:spacing w:before="0"/>
        <w:rPr>
          <w:rFonts w:asciiTheme="minorHAnsi" w:hAnsiTheme="minorHAnsi" w:cs="Arial"/>
          <w:sz w:val="24"/>
          <w:szCs w:val="24"/>
        </w:rPr>
      </w:pPr>
    </w:p>
    <w:p w14:paraId="3A999567" w14:textId="77777777" w:rsidR="001B5B06" w:rsidRPr="001A4755" w:rsidRDefault="001B5B06">
      <w:pPr>
        <w:pStyle w:val="Textocomentario"/>
        <w:numPr>
          <w:ilvl w:val="0"/>
          <w:numId w:val="8"/>
        </w:numPr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Instar</w:t>
      </w:r>
      <w:r w:rsidRPr="001A4755">
        <w:rPr>
          <w:rFonts w:asciiTheme="minorHAnsi" w:hAnsiTheme="minorHAnsi" w:cs="Arial"/>
          <w:sz w:val="24"/>
          <w:szCs w:val="24"/>
        </w:rPr>
        <w:t xml:space="preserve"> a los países a adoptar, con el apoyo del Comité Técnico Interagencial y otros actores, medidas para minimizar la exposición al plomo</w:t>
      </w:r>
      <w:r w:rsidR="00A45610"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D30CDD" w:rsidRPr="001A4755">
        <w:rPr>
          <w:rFonts w:asciiTheme="minorHAnsi" w:hAnsiTheme="minorHAnsi" w:cs="Arial"/>
          <w:sz w:val="24"/>
          <w:szCs w:val="24"/>
        </w:rPr>
        <w:t>promoviendo</w:t>
      </w:r>
      <w:r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A45610" w:rsidRPr="001A4755">
        <w:rPr>
          <w:rFonts w:asciiTheme="minorHAnsi" w:hAnsiTheme="minorHAnsi" w:cs="Arial"/>
          <w:sz w:val="24"/>
          <w:szCs w:val="24"/>
        </w:rPr>
        <w:t xml:space="preserve">en particular, la eliminación del uso de plomo en pinturas y </w:t>
      </w:r>
      <w:r w:rsidRPr="001A4755">
        <w:rPr>
          <w:rFonts w:asciiTheme="minorHAnsi" w:hAnsiTheme="minorHAnsi" w:cs="Arial"/>
          <w:sz w:val="24"/>
          <w:szCs w:val="24"/>
        </w:rPr>
        <w:t xml:space="preserve">la gestión ambientalmente racional de las baterías ácido-plomo usadas, con arreglo a los principios y directrices técnicas del Convenio de Basilea. </w:t>
      </w:r>
    </w:p>
    <w:p w14:paraId="310570DA" w14:textId="77777777" w:rsidR="000568BC" w:rsidRPr="001A4755" w:rsidRDefault="000568BC" w:rsidP="001E2507">
      <w:pPr>
        <w:pStyle w:val="Textocomentario"/>
        <w:spacing w:before="0"/>
        <w:rPr>
          <w:rFonts w:asciiTheme="minorHAnsi" w:hAnsiTheme="minorHAnsi" w:cs="Arial"/>
          <w:sz w:val="24"/>
          <w:szCs w:val="24"/>
        </w:rPr>
      </w:pPr>
    </w:p>
    <w:p w14:paraId="4BFA1B12" w14:textId="5D38D064" w:rsidR="009442C8" w:rsidRPr="001A4755" w:rsidRDefault="0003088F" w:rsidP="007C0A3D">
      <w:pPr>
        <w:pStyle w:val="Textocomentario"/>
        <w:spacing w:before="0"/>
        <w:rPr>
          <w:rFonts w:asciiTheme="minorHAnsi" w:hAnsiTheme="minorHAnsi" w:cs="Arial"/>
          <w:b/>
          <w:i/>
          <w:sz w:val="24"/>
          <w:szCs w:val="24"/>
        </w:rPr>
      </w:pPr>
      <w:r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9442C8" w:rsidRPr="001A4755">
        <w:rPr>
          <w:rFonts w:asciiTheme="minorHAnsi" w:hAnsiTheme="minorHAnsi" w:cs="Arial"/>
          <w:b/>
          <w:i/>
          <w:sz w:val="24"/>
          <w:szCs w:val="24"/>
        </w:rPr>
        <w:t xml:space="preserve">Gestión de </w:t>
      </w:r>
      <w:r w:rsidR="004A2D1F" w:rsidRPr="001A4755">
        <w:rPr>
          <w:rFonts w:asciiTheme="minorHAnsi" w:hAnsiTheme="minorHAnsi" w:cs="Arial"/>
          <w:b/>
          <w:i/>
          <w:sz w:val="24"/>
          <w:szCs w:val="24"/>
        </w:rPr>
        <w:t>desecho</w:t>
      </w:r>
      <w:r w:rsidR="009442C8" w:rsidRPr="001A4755">
        <w:rPr>
          <w:rFonts w:asciiTheme="minorHAnsi" w:hAnsiTheme="minorHAnsi" w:cs="Arial"/>
          <w:b/>
          <w:i/>
          <w:sz w:val="24"/>
          <w:szCs w:val="24"/>
        </w:rPr>
        <w:t>s</w:t>
      </w:r>
    </w:p>
    <w:p w14:paraId="54ED70BB" w14:textId="77777777" w:rsidR="009442C8" w:rsidRPr="001A4755" w:rsidRDefault="009442C8" w:rsidP="000568BC">
      <w:pPr>
        <w:pStyle w:val="Textocomentario"/>
        <w:spacing w:before="0"/>
        <w:rPr>
          <w:rFonts w:asciiTheme="minorHAnsi" w:hAnsiTheme="minorHAnsi" w:cs="Arial"/>
          <w:b/>
          <w:i/>
          <w:sz w:val="24"/>
          <w:szCs w:val="24"/>
        </w:rPr>
      </w:pPr>
    </w:p>
    <w:p w14:paraId="340AA50E" w14:textId="77777777" w:rsidR="00440786" w:rsidRPr="001A4755" w:rsidRDefault="00440786" w:rsidP="000568BC">
      <w:pPr>
        <w:pStyle w:val="Textocomentario"/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Recordando</w:t>
      </w:r>
      <w:r w:rsidRPr="001A4755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Pr="001A4755">
        <w:rPr>
          <w:rFonts w:asciiTheme="minorHAnsi" w:hAnsiTheme="minorHAnsi" w:cs="Arial"/>
          <w:sz w:val="24"/>
          <w:szCs w:val="24"/>
        </w:rPr>
        <w:t>la solicitud a la Secretaría, en la Declaración de Los Cabos, de elaborar un análisis de perspectiva regional sobre los principales desafíos y tendencias sobre la gestión integral de los residuos, y reconociendo los progresos alcanzados hasta la fecha;</w:t>
      </w:r>
    </w:p>
    <w:p w14:paraId="176ACBE0" w14:textId="77777777" w:rsidR="00440786" w:rsidRPr="001A4755" w:rsidRDefault="00440786" w:rsidP="000568BC">
      <w:pPr>
        <w:pStyle w:val="Textocomentario"/>
        <w:spacing w:before="0"/>
        <w:rPr>
          <w:rFonts w:asciiTheme="minorHAnsi" w:hAnsiTheme="minorHAnsi" w:cs="Arial"/>
          <w:i/>
          <w:sz w:val="24"/>
          <w:szCs w:val="24"/>
        </w:rPr>
      </w:pPr>
    </w:p>
    <w:p w14:paraId="771C1648" w14:textId="77777777" w:rsidR="00F71191" w:rsidRPr="001A4755" w:rsidRDefault="0068641F" w:rsidP="000568BC">
      <w:pPr>
        <w:pStyle w:val="Textocomentario"/>
        <w:spacing w:before="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Considerando</w:t>
      </w:r>
      <w:r w:rsidR="000232D5" w:rsidRPr="001A4755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0232D5" w:rsidRPr="001A4755">
        <w:rPr>
          <w:rFonts w:asciiTheme="minorHAnsi" w:hAnsiTheme="minorHAnsi" w:cs="Arial"/>
          <w:sz w:val="24"/>
          <w:szCs w:val="24"/>
        </w:rPr>
        <w:t xml:space="preserve">los </w:t>
      </w:r>
      <w:r w:rsidR="00A45610" w:rsidRPr="001A4755">
        <w:rPr>
          <w:rFonts w:asciiTheme="minorHAnsi" w:hAnsiTheme="minorHAnsi" w:cs="Arial"/>
          <w:sz w:val="24"/>
          <w:szCs w:val="24"/>
        </w:rPr>
        <w:t xml:space="preserve">efectos adversos que sobre la salud y el medio ambiente puede ocasionar </w:t>
      </w:r>
      <w:r w:rsidR="000232D5" w:rsidRPr="001A4755">
        <w:rPr>
          <w:rFonts w:asciiTheme="minorHAnsi" w:hAnsiTheme="minorHAnsi" w:cs="Arial"/>
          <w:sz w:val="24"/>
          <w:szCs w:val="24"/>
        </w:rPr>
        <w:t>una inadecuada gestión de los residuos, y conscientes de</w:t>
      </w:r>
      <w:r w:rsidR="00F71191" w:rsidRPr="001A4755">
        <w:rPr>
          <w:rFonts w:asciiTheme="minorHAnsi" w:hAnsiTheme="minorHAnsi" w:cs="Arial"/>
          <w:sz w:val="24"/>
          <w:szCs w:val="24"/>
        </w:rPr>
        <w:t>l progresivo aumento de la cantidad y complejidad de los residuos generados en los asentamientos urbanos;</w:t>
      </w:r>
    </w:p>
    <w:p w14:paraId="0B8FB40E" w14:textId="77777777" w:rsidR="009442C8" w:rsidRPr="001A4755" w:rsidRDefault="009442C8" w:rsidP="000568BC">
      <w:pPr>
        <w:pStyle w:val="Textocomentario"/>
        <w:spacing w:before="0"/>
        <w:rPr>
          <w:rFonts w:asciiTheme="minorHAnsi" w:hAnsiTheme="minorHAnsi" w:cs="Arial"/>
          <w:b/>
          <w:i/>
          <w:sz w:val="24"/>
          <w:szCs w:val="24"/>
        </w:rPr>
      </w:pPr>
    </w:p>
    <w:p w14:paraId="22FB4625" w14:textId="4D9FF49A" w:rsidR="009442C8" w:rsidRPr="001A4755" w:rsidRDefault="009442C8" w:rsidP="009442C8">
      <w:pPr>
        <w:spacing w:before="0"/>
        <w:jc w:val="center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Decide</w:t>
      </w:r>
      <w:r w:rsidR="00076E38" w:rsidRPr="001A4755">
        <w:rPr>
          <w:rFonts w:asciiTheme="minorHAnsi" w:hAnsiTheme="minorHAnsi" w:cs="Arial"/>
          <w:b/>
          <w:sz w:val="24"/>
          <w:szCs w:val="24"/>
        </w:rPr>
        <w:t>n</w:t>
      </w:r>
    </w:p>
    <w:p w14:paraId="1CBEB0BE" w14:textId="77777777" w:rsidR="009442C8" w:rsidRPr="001A4755" w:rsidRDefault="009442C8" w:rsidP="000568BC">
      <w:pPr>
        <w:pStyle w:val="Textocomentario"/>
        <w:spacing w:before="0"/>
        <w:rPr>
          <w:rFonts w:asciiTheme="minorHAnsi" w:hAnsiTheme="minorHAnsi" w:cs="Arial"/>
          <w:b/>
          <w:i/>
          <w:sz w:val="24"/>
          <w:szCs w:val="24"/>
        </w:rPr>
      </w:pPr>
    </w:p>
    <w:p w14:paraId="5A8F1E72" w14:textId="72E77289" w:rsidR="009442C8" w:rsidRPr="001A4755" w:rsidRDefault="0068641F" w:rsidP="001A4755">
      <w:pPr>
        <w:pStyle w:val="Prrafodelista"/>
        <w:numPr>
          <w:ilvl w:val="0"/>
          <w:numId w:val="10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 xml:space="preserve">Solicitar </w:t>
      </w:r>
      <w:r w:rsidRPr="001A4755">
        <w:rPr>
          <w:rFonts w:asciiTheme="minorHAnsi" w:hAnsiTheme="minorHAnsi" w:cs="Arial"/>
          <w:sz w:val="24"/>
          <w:szCs w:val="24"/>
        </w:rPr>
        <w:t>a la Secretaría</w:t>
      </w:r>
      <w:r w:rsidRPr="001A4755">
        <w:rPr>
          <w:rFonts w:asciiTheme="minorHAnsi" w:hAnsiTheme="minorHAnsi" w:cs="Arial"/>
          <w:b/>
          <w:sz w:val="24"/>
          <w:szCs w:val="24"/>
        </w:rPr>
        <w:t xml:space="preserve"> </w:t>
      </w:r>
      <w:r w:rsidRPr="001A4755">
        <w:rPr>
          <w:rFonts w:asciiTheme="minorHAnsi" w:hAnsiTheme="minorHAnsi" w:cs="Arial"/>
          <w:sz w:val="24"/>
          <w:szCs w:val="24"/>
        </w:rPr>
        <w:t xml:space="preserve">continuar el desarrollo del informe de perspectiva de la gestión de residuos en América Latina y el Caribe, e informar sobre los resultados del mismo en la próxima reunión del Foro de Ministros, a fin de brindar orientación para la planificación de políticas </w:t>
      </w:r>
      <w:r w:rsidR="003348EE" w:rsidRPr="001A4755">
        <w:rPr>
          <w:rFonts w:asciiTheme="minorHAnsi" w:hAnsiTheme="minorHAnsi" w:cs="Arial"/>
          <w:sz w:val="24"/>
          <w:szCs w:val="24"/>
        </w:rPr>
        <w:t xml:space="preserve">y programas regionales y </w:t>
      </w:r>
      <w:r w:rsidRPr="001A4755">
        <w:rPr>
          <w:rFonts w:asciiTheme="minorHAnsi" w:hAnsiTheme="minorHAnsi" w:cs="Arial"/>
          <w:sz w:val="24"/>
          <w:szCs w:val="24"/>
        </w:rPr>
        <w:t>nacionales</w:t>
      </w:r>
      <w:r w:rsidR="003348EE" w:rsidRPr="001A4755">
        <w:rPr>
          <w:rFonts w:asciiTheme="minorHAnsi" w:hAnsiTheme="minorHAnsi" w:cs="Arial"/>
          <w:sz w:val="24"/>
          <w:szCs w:val="24"/>
        </w:rPr>
        <w:t xml:space="preserve"> según corresponda</w:t>
      </w:r>
      <w:r w:rsidRPr="001A4755">
        <w:rPr>
          <w:rFonts w:asciiTheme="minorHAnsi" w:hAnsiTheme="minorHAnsi" w:cs="Arial"/>
          <w:sz w:val="24"/>
          <w:szCs w:val="24"/>
        </w:rPr>
        <w:t xml:space="preserve">. </w:t>
      </w:r>
    </w:p>
    <w:p w14:paraId="3F8FE8CF" w14:textId="77777777" w:rsidR="009442C8" w:rsidRPr="001A4755" w:rsidRDefault="009442C8" w:rsidP="001A4755">
      <w:pPr>
        <w:spacing w:before="0"/>
        <w:rPr>
          <w:rFonts w:asciiTheme="minorHAnsi" w:hAnsiTheme="minorHAnsi" w:cs="Arial"/>
          <w:sz w:val="24"/>
          <w:szCs w:val="24"/>
        </w:rPr>
      </w:pPr>
    </w:p>
    <w:p w14:paraId="0EE32E89" w14:textId="4DC2CE64" w:rsidR="00367445" w:rsidRPr="001A4755" w:rsidRDefault="0068641F" w:rsidP="001A4755">
      <w:pPr>
        <w:pStyle w:val="Prrafodelista"/>
        <w:numPr>
          <w:ilvl w:val="0"/>
          <w:numId w:val="10"/>
        </w:numPr>
        <w:spacing w:before="0"/>
        <w:ind w:left="360"/>
        <w:rPr>
          <w:rFonts w:asciiTheme="minorHAnsi" w:hAnsiTheme="minorHAnsi" w:cs="Arial"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Promover</w:t>
      </w:r>
      <w:r w:rsidRPr="001A4755">
        <w:rPr>
          <w:rFonts w:asciiTheme="minorHAnsi" w:hAnsiTheme="minorHAnsi" w:cs="Arial"/>
          <w:sz w:val="24"/>
          <w:szCs w:val="24"/>
        </w:rPr>
        <w:t xml:space="preserve"> </w:t>
      </w:r>
      <w:r w:rsidR="00367445" w:rsidRPr="001A4755">
        <w:rPr>
          <w:rFonts w:asciiTheme="minorHAnsi" w:hAnsiTheme="minorHAnsi" w:cs="Arial"/>
          <w:sz w:val="24"/>
          <w:szCs w:val="24"/>
        </w:rPr>
        <w:t>el desarrollo y adopción de estrategias y políticas integradas de</w:t>
      </w:r>
      <w:r w:rsidR="00D30CDD" w:rsidRPr="001A4755">
        <w:rPr>
          <w:rFonts w:asciiTheme="minorHAnsi" w:hAnsiTheme="minorHAnsi" w:cs="Arial"/>
          <w:sz w:val="24"/>
          <w:szCs w:val="24"/>
        </w:rPr>
        <w:t xml:space="preserve"> prevención y</w:t>
      </w:r>
      <w:r w:rsidR="00367445" w:rsidRPr="001A4755">
        <w:rPr>
          <w:rFonts w:asciiTheme="minorHAnsi" w:hAnsiTheme="minorHAnsi" w:cs="Arial"/>
          <w:sz w:val="24"/>
          <w:szCs w:val="24"/>
        </w:rPr>
        <w:t xml:space="preserve"> gestión de residuos, con el apoyo del Comité Técnico Interagencial de este Foro y </w:t>
      </w:r>
      <w:r w:rsidR="00FF4CDE" w:rsidRPr="001A4755">
        <w:rPr>
          <w:rFonts w:asciiTheme="minorHAnsi" w:hAnsiTheme="minorHAnsi" w:cs="Arial"/>
          <w:sz w:val="24"/>
          <w:szCs w:val="24"/>
        </w:rPr>
        <w:t>otros organismos</w:t>
      </w:r>
      <w:r w:rsidR="00367445" w:rsidRPr="001A4755">
        <w:rPr>
          <w:rFonts w:asciiTheme="minorHAnsi" w:hAnsiTheme="minorHAnsi" w:cs="Arial"/>
          <w:sz w:val="24"/>
          <w:szCs w:val="24"/>
        </w:rPr>
        <w:t xml:space="preserve"> multilaterales </w:t>
      </w:r>
      <w:r w:rsidR="00E10A20" w:rsidRPr="001A4755">
        <w:rPr>
          <w:rFonts w:asciiTheme="minorHAnsi" w:hAnsiTheme="minorHAnsi" w:cs="Arial"/>
          <w:sz w:val="24"/>
          <w:szCs w:val="24"/>
        </w:rPr>
        <w:t>pertinentes</w:t>
      </w:r>
      <w:r w:rsidR="00D30CDD" w:rsidRPr="001A4755">
        <w:rPr>
          <w:rFonts w:asciiTheme="minorHAnsi" w:hAnsiTheme="minorHAnsi" w:cs="Arial"/>
          <w:sz w:val="24"/>
          <w:szCs w:val="24"/>
        </w:rPr>
        <w:t>, y de forma coordinada con otras iniciativas relacionadas como el 10YFP</w:t>
      </w:r>
      <w:r w:rsidR="00367445" w:rsidRPr="001A4755">
        <w:rPr>
          <w:rFonts w:asciiTheme="minorHAnsi" w:hAnsiTheme="minorHAnsi" w:cs="Arial"/>
          <w:sz w:val="24"/>
          <w:szCs w:val="24"/>
        </w:rPr>
        <w:t xml:space="preserve">. </w:t>
      </w:r>
    </w:p>
    <w:p w14:paraId="60F122F2" w14:textId="77777777" w:rsidR="007C0A3D" w:rsidRPr="001A4755" w:rsidRDefault="007C0A3D" w:rsidP="001A4755">
      <w:pPr>
        <w:spacing w:before="0" w:after="200" w:line="276" w:lineRule="auto"/>
        <w:jc w:val="left"/>
        <w:rPr>
          <w:rFonts w:asciiTheme="minorHAnsi" w:hAnsiTheme="minorHAnsi" w:cs="Arial"/>
          <w:b/>
          <w:sz w:val="24"/>
          <w:szCs w:val="24"/>
        </w:rPr>
      </w:pPr>
    </w:p>
    <w:p w14:paraId="1FF7F2CB" w14:textId="6DEABA11" w:rsidR="00913D2C" w:rsidRPr="001A4755" w:rsidRDefault="00913D2C" w:rsidP="007C0A3D">
      <w:pPr>
        <w:spacing w:before="0" w:after="200" w:line="276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lastRenderedPageBreak/>
        <w:t>ANEXO</w:t>
      </w:r>
    </w:p>
    <w:p w14:paraId="062A2313" w14:textId="77777777" w:rsidR="00913D2C" w:rsidRPr="001A4755" w:rsidRDefault="00913D2C" w:rsidP="00913D2C">
      <w:pPr>
        <w:pStyle w:val="Texto"/>
        <w:spacing w:before="0"/>
        <w:jc w:val="center"/>
        <w:rPr>
          <w:rFonts w:asciiTheme="minorHAnsi" w:hAnsiTheme="minorHAnsi" w:cs="Arial"/>
          <w:b/>
          <w:sz w:val="24"/>
          <w:lang w:val="es-MX"/>
        </w:rPr>
      </w:pPr>
    </w:p>
    <w:p w14:paraId="199054C4" w14:textId="722E5980" w:rsidR="00913D2C" w:rsidRPr="001A4755" w:rsidRDefault="00913D2C" w:rsidP="00913D2C">
      <w:pPr>
        <w:pStyle w:val="Texto"/>
        <w:spacing w:before="0"/>
        <w:jc w:val="center"/>
        <w:rPr>
          <w:rFonts w:asciiTheme="minorHAnsi" w:hAnsiTheme="minorHAnsi" w:cs="Arial"/>
          <w:b/>
          <w:color w:val="FF0000"/>
          <w:sz w:val="24"/>
          <w:lang w:val="es-MX"/>
        </w:rPr>
      </w:pPr>
      <w:r w:rsidRPr="001A4755">
        <w:rPr>
          <w:rFonts w:asciiTheme="minorHAnsi" w:hAnsiTheme="minorHAnsi" w:cs="Arial"/>
          <w:b/>
          <w:sz w:val="24"/>
          <w:lang w:val="es-MX"/>
        </w:rPr>
        <w:t>Términos de Referencia de la Red Intergubernamental de Químicos y Desechos para América Latina y el Caribe</w:t>
      </w:r>
    </w:p>
    <w:p w14:paraId="511093E8" w14:textId="77777777" w:rsidR="00913D2C" w:rsidRPr="001A4755" w:rsidRDefault="00913D2C" w:rsidP="00913D2C">
      <w:pPr>
        <w:pStyle w:val="Texto"/>
        <w:pBdr>
          <w:bottom w:val="single" w:sz="4" w:space="0" w:color="auto"/>
        </w:pBdr>
        <w:spacing w:before="0"/>
        <w:jc w:val="center"/>
        <w:rPr>
          <w:rFonts w:asciiTheme="minorHAnsi" w:hAnsiTheme="minorHAnsi" w:cs="Arial"/>
          <w:b/>
          <w:color w:val="FF0000"/>
          <w:sz w:val="24"/>
          <w:lang w:val="es-MX"/>
        </w:rPr>
      </w:pPr>
    </w:p>
    <w:p w14:paraId="040707AC" w14:textId="77777777" w:rsidR="00913D2C" w:rsidRPr="001A4755" w:rsidRDefault="00913D2C" w:rsidP="00913D2C">
      <w:pPr>
        <w:spacing w:before="0"/>
        <w:rPr>
          <w:rFonts w:asciiTheme="minorHAnsi" w:hAnsiTheme="minorHAnsi" w:cs="Arial"/>
          <w:b/>
          <w:sz w:val="24"/>
          <w:szCs w:val="24"/>
        </w:rPr>
      </w:pPr>
    </w:p>
    <w:p w14:paraId="1CBE038A" w14:textId="77777777" w:rsidR="00913D2C" w:rsidRPr="001A4755" w:rsidRDefault="00913D2C" w:rsidP="00913D2C">
      <w:pPr>
        <w:spacing w:before="0"/>
        <w:jc w:val="left"/>
        <w:rPr>
          <w:rFonts w:asciiTheme="minorHAnsi" w:hAnsiTheme="minorHAnsi" w:cs="Arial"/>
          <w:b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>Objetivos</w:t>
      </w:r>
    </w:p>
    <w:p w14:paraId="409A857F" w14:textId="77777777" w:rsidR="00913D2C" w:rsidRPr="001A4755" w:rsidRDefault="00913D2C" w:rsidP="00913D2C">
      <w:pPr>
        <w:spacing w:before="0"/>
        <w:rPr>
          <w:rFonts w:asciiTheme="minorHAnsi" w:hAnsiTheme="minorHAnsi" w:cs="Arial"/>
          <w:b/>
          <w:sz w:val="24"/>
          <w:szCs w:val="24"/>
        </w:rPr>
      </w:pPr>
    </w:p>
    <w:p w14:paraId="0300341B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Objetivos generales:</w:t>
      </w:r>
    </w:p>
    <w:p w14:paraId="39DB908E" w14:textId="77777777" w:rsidR="00913D2C" w:rsidRPr="001A4755" w:rsidRDefault="00913D2C" w:rsidP="00913D2C">
      <w:pPr>
        <w:spacing w:before="0"/>
        <w:rPr>
          <w:rFonts w:asciiTheme="minorHAnsi" w:hAnsiTheme="minorHAnsi" w:cs="Arial"/>
          <w:b/>
          <w:sz w:val="24"/>
          <w:szCs w:val="24"/>
          <w:lang w:val="es-PA"/>
        </w:rPr>
      </w:pPr>
    </w:p>
    <w:p w14:paraId="37455987" w14:textId="77777777" w:rsidR="00913D2C" w:rsidRPr="001A4755" w:rsidRDefault="00913D2C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Contribuir a la aplicación de la Agenda 2030 para el Desarrollo Sostenible, facilitando el logro de los objetivos y metas relacionadas con productos químicos y desechos en los países de América Latina y el Caribe (ALC);</w:t>
      </w:r>
    </w:p>
    <w:p w14:paraId="7A885486" w14:textId="77777777" w:rsidR="00913D2C" w:rsidRPr="001A4755" w:rsidRDefault="00913D2C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Apoyar la aplicación de los acuerdos internacionales sobre productos químicos y desechos en los países de la región;</w:t>
      </w:r>
    </w:p>
    <w:p w14:paraId="5B1F99A1" w14:textId="2418F747" w:rsidR="00913D2C" w:rsidRPr="001A4755" w:rsidRDefault="00913D2C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Reforzar la cooperación regional y facilitar el intercambio de información y buenas prácticas sobre gestión racional de productos químicos y desechos; </w:t>
      </w:r>
    </w:p>
    <w:p w14:paraId="6655A68E" w14:textId="558DB019" w:rsidR="00907910" w:rsidRPr="001A4755" w:rsidRDefault="003646FF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Promover</w:t>
      </w:r>
      <w:r w:rsidR="00907910" w:rsidRPr="001A4755">
        <w:rPr>
          <w:rFonts w:asciiTheme="minorHAnsi" w:hAnsiTheme="minorHAnsi" w:cs="Arial"/>
          <w:sz w:val="24"/>
          <w:szCs w:val="24"/>
          <w:lang w:val="es-PA"/>
        </w:rPr>
        <w:t xml:space="preserve"> mecanismos de transferencia de tecnología y generación de capacidades para la reducción del uso de productos químicos</w:t>
      </w:r>
      <w:r w:rsidR="002D475D" w:rsidRPr="001A4755">
        <w:rPr>
          <w:rFonts w:asciiTheme="minorHAnsi" w:hAnsiTheme="minorHAnsi" w:cs="Arial"/>
          <w:sz w:val="24"/>
          <w:szCs w:val="24"/>
          <w:lang w:val="es-PA"/>
        </w:rPr>
        <w:t>; y</w:t>
      </w:r>
      <w:r w:rsidR="00907910" w:rsidRPr="001A4755">
        <w:rPr>
          <w:rFonts w:asciiTheme="minorHAnsi" w:hAnsiTheme="minorHAnsi" w:cs="Arial"/>
          <w:sz w:val="24"/>
          <w:szCs w:val="24"/>
          <w:lang w:val="es-PA"/>
        </w:rPr>
        <w:t xml:space="preserve">  </w:t>
      </w:r>
    </w:p>
    <w:p w14:paraId="7EE37318" w14:textId="09C58D12" w:rsidR="00913D2C" w:rsidRPr="001A4755" w:rsidRDefault="00913D2C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Dar recomendaciones a nivel de política y </w:t>
      </w:r>
      <w:r w:rsidR="003348EE" w:rsidRPr="001A4755">
        <w:rPr>
          <w:rFonts w:asciiTheme="minorHAnsi" w:hAnsiTheme="minorHAnsi" w:cs="Arial"/>
          <w:sz w:val="24"/>
          <w:szCs w:val="24"/>
          <w:lang w:val="es-PA"/>
        </w:rPr>
        <w:t xml:space="preserve">programa </w:t>
      </w:r>
      <w:r w:rsidRPr="001A4755">
        <w:rPr>
          <w:rFonts w:asciiTheme="minorHAnsi" w:hAnsiTheme="minorHAnsi" w:cs="Arial"/>
          <w:sz w:val="24"/>
          <w:szCs w:val="24"/>
          <w:lang w:val="es-PA"/>
        </w:rPr>
        <w:t>para su consideración por el Foro de Ministros de Medio Ambiente de América Latina y el Caribe.</w:t>
      </w:r>
    </w:p>
    <w:p w14:paraId="76C353EE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</w:p>
    <w:p w14:paraId="3E77C72C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Objetivos específicos:</w:t>
      </w:r>
    </w:p>
    <w:p w14:paraId="1420CA9D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n-US"/>
        </w:rPr>
      </w:pPr>
    </w:p>
    <w:p w14:paraId="4909A487" w14:textId="77777777" w:rsidR="00913D2C" w:rsidRPr="001A4755" w:rsidRDefault="00913D2C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Apoyar el desarrollo y aplicación de un plan de acción regional sobre productos químicos y desechos en la región de América Latina y el Caribe, en coordinación con otras iniciativas y actores pertinentes;</w:t>
      </w:r>
    </w:p>
    <w:p w14:paraId="33186908" w14:textId="77777777" w:rsidR="00913D2C" w:rsidRPr="001A4755" w:rsidRDefault="00913D2C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Identificar y difundir entre los países de la región las oportunidades de financiación y apoyar la movilización de recursos para llevar a cabo actividades relacionadas con el área de productos químicos y desechos;</w:t>
      </w:r>
    </w:p>
    <w:p w14:paraId="4A8227DB" w14:textId="77777777" w:rsidR="00913D2C" w:rsidRPr="001A4755" w:rsidRDefault="00913D2C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Facilitar el fortalecimiento de capacidades e intercambio de información, experiencias, políticas, proyectos y buenas prácticas sobre la gestión racional de productos químicos y los desechos entre los países de la región y con otras regiones, incluyendo acciones de cooperación sur-sur e involucrando a los diferentes actores y con el apoyo de la red de centros regionales de los Convenios de Basilea y Estocolmo;</w:t>
      </w:r>
    </w:p>
    <w:p w14:paraId="7E3FCF20" w14:textId="77777777" w:rsidR="00913D2C" w:rsidRPr="001A4755" w:rsidRDefault="00913D2C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Promover la generación de conocimiento y el desarrollo de actividades de investigación en esta  área;</w:t>
      </w:r>
    </w:p>
    <w:p w14:paraId="70FA0545" w14:textId="77777777" w:rsidR="00913D2C" w:rsidRPr="001A4755" w:rsidRDefault="00913D2C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Promover la sensibilización y difusión de información sobre los riesgos e impactos asociados a los productos químicos y los desechos;</w:t>
      </w:r>
    </w:p>
    <w:p w14:paraId="42A911A4" w14:textId="77777777" w:rsidR="00913D2C" w:rsidRPr="001A4755" w:rsidRDefault="00913D2C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Identificar prioridades, retos y oportunidades, y dar recomendaciones para consideración del Foro de Ministros de Medio Ambiente de ALC y de otros foros pertinentes;</w:t>
      </w:r>
    </w:p>
    <w:p w14:paraId="4599E443" w14:textId="77777777" w:rsidR="002D475D" w:rsidRPr="001A4755" w:rsidRDefault="002D475D" w:rsidP="002D475D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lastRenderedPageBreak/>
        <w:t>Apoyar al desarrollo de mecanismos de intercambio de información en áreas como la rehabilitación de sitios contaminados, el manejo del mercurio en los ecosistemas fluviales así como la reducción y eventual eliminación, cuando sea posible, del mercurio en la minería artesanal, entre otros.</w:t>
      </w:r>
    </w:p>
    <w:p w14:paraId="6B1697DE" w14:textId="77777777" w:rsidR="00913D2C" w:rsidRPr="001A4755" w:rsidRDefault="00913D2C" w:rsidP="00913D2C">
      <w:pPr>
        <w:pStyle w:val="Prrafodelista"/>
        <w:numPr>
          <w:ilvl w:val="0"/>
          <w:numId w:val="11"/>
        </w:numPr>
        <w:spacing w:before="0"/>
        <w:ind w:left="284" w:hanging="284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Contribuir a otros objetivos sobre productos químicos y desechos definidos por el Foro de Ministros de Medio Ambiente de ALC. </w:t>
      </w:r>
    </w:p>
    <w:p w14:paraId="5CCD10F0" w14:textId="77777777" w:rsidR="00913D2C" w:rsidRPr="001A4755" w:rsidRDefault="00913D2C" w:rsidP="00913D2C">
      <w:pPr>
        <w:spacing w:before="0"/>
        <w:rPr>
          <w:rFonts w:asciiTheme="minorHAnsi" w:hAnsiTheme="minorHAnsi" w:cs="Arial"/>
          <w:b/>
          <w:sz w:val="24"/>
          <w:szCs w:val="24"/>
          <w:lang w:val="es-PA"/>
        </w:rPr>
      </w:pPr>
    </w:p>
    <w:p w14:paraId="705030CB" w14:textId="77777777" w:rsidR="00913D2C" w:rsidRPr="001A4755" w:rsidRDefault="00913D2C" w:rsidP="00913D2C">
      <w:pPr>
        <w:spacing w:before="0"/>
        <w:jc w:val="left"/>
        <w:rPr>
          <w:rFonts w:asciiTheme="minorHAnsi" w:hAnsiTheme="minorHAnsi" w:cs="Arial"/>
          <w:b/>
          <w:sz w:val="24"/>
          <w:szCs w:val="24"/>
        </w:rPr>
      </w:pPr>
      <w:r w:rsidRPr="001A4755">
        <w:rPr>
          <w:rFonts w:asciiTheme="minorHAnsi" w:hAnsiTheme="minorHAnsi" w:cs="Arial"/>
          <w:b/>
          <w:sz w:val="24"/>
          <w:szCs w:val="24"/>
        </w:rPr>
        <w:t xml:space="preserve">Estructura y funcionamiento: </w:t>
      </w:r>
    </w:p>
    <w:p w14:paraId="4F6CD282" w14:textId="77777777" w:rsidR="00913D2C" w:rsidRPr="001A4755" w:rsidRDefault="00913D2C" w:rsidP="00913D2C">
      <w:pPr>
        <w:pStyle w:val="Default"/>
        <w:rPr>
          <w:rFonts w:asciiTheme="minorHAnsi" w:hAnsiTheme="minorHAnsi"/>
        </w:rPr>
      </w:pPr>
    </w:p>
    <w:p w14:paraId="1CD49B52" w14:textId="77777777" w:rsidR="00913D2C" w:rsidRPr="001A4755" w:rsidRDefault="00913D2C" w:rsidP="00913D2C">
      <w:pPr>
        <w:pStyle w:val="Default"/>
        <w:rPr>
          <w:rFonts w:asciiTheme="minorHAnsi" w:hAnsiTheme="minorHAnsi"/>
        </w:rPr>
      </w:pPr>
      <w:r w:rsidRPr="001A4755">
        <w:rPr>
          <w:rFonts w:asciiTheme="minorHAnsi" w:hAnsiTheme="minorHAnsi"/>
        </w:rPr>
        <w:t>Miembros:</w:t>
      </w:r>
    </w:p>
    <w:p w14:paraId="23576751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La red intergubernamental de químicos y desechos estará integrada por el conjunto de puntos focales nominados por los gobiernos de la región. Se invitará también a otros actores relacionados a que designen sus respectivos puntos focales, con el fin de fomentar su participación y promover una visión integrada de las acciones a abordar por la red regional. Para la identificación de los actores se tendrá en cuenta como referencia la estructura regional del SAICM.</w:t>
      </w:r>
    </w:p>
    <w:p w14:paraId="6B234FB0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</w:p>
    <w:p w14:paraId="44B4F4CB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Comité Directivo:</w:t>
      </w:r>
    </w:p>
    <w:p w14:paraId="6D1FF246" w14:textId="39A8AC23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La red contará con un Comité Directivo formado por dos miembros de cada una de las sub-regiones de América Latina y el Caribe (Mesoamérica, Caribe, Andes y Cono Sur). Los miembros del Comité Directivo serán designados por un periodo de dos años de forma rotativa entre los países de la sub-región. </w:t>
      </w:r>
    </w:p>
    <w:p w14:paraId="7D9E6229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</w:p>
    <w:p w14:paraId="4028AD1D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Secretaría:</w:t>
      </w:r>
    </w:p>
    <w:p w14:paraId="738612DD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La red estará apoyada por la Secretaría del Foro de Ministros de Medio Ambiente para ALC, que recae en la Oficina Regional para América Latina y el Caribe del PNUMA. </w:t>
      </w:r>
    </w:p>
    <w:p w14:paraId="798EA69C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</w:p>
    <w:p w14:paraId="709AB876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Operación:</w:t>
      </w:r>
    </w:p>
    <w:p w14:paraId="7AA38891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La red intergubernamental de químicos y desechos se reunirá al menos una vez cada dos años (dependiendo de los recursos disponibles), y realizará teleconferencias periódicas. Su Comité Directivo se reunirá al menos una vez al año y deberá elaborar en su primera reunión el reglamento operativo de la red, estableciendo los procedimientos de consulta con los puntos focales de gobierno y las modalidades de participación de los puntos focales designados por los actores. </w:t>
      </w:r>
    </w:p>
    <w:p w14:paraId="6EBB0CB2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</w:p>
    <w:p w14:paraId="18E309C5" w14:textId="77777777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Plan de acción regional:</w:t>
      </w:r>
    </w:p>
    <w:p w14:paraId="58FA7CD8" w14:textId="3D90C136" w:rsidR="00913D2C" w:rsidRPr="001A4755" w:rsidRDefault="00913D2C" w:rsidP="00913D2C">
      <w:pPr>
        <w:spacing w:before="0"/>
        <w:rPr>
          <w:rFonts w:asciiTheme="minorHAnsi" w:hAnsiTheme="minorHAnsi" w:cs="Arial"/>
          <w:sz w:val="24"/>
          <w:szCs w:val="24"/>
          <w:lang w:val="es-PA"/>
        </w:rPr>
      </w:pPr>
      <w:r w:rsidRPr="001A4755">
        <w:rPr>
          <w:rFonts w:asciiTheme="minorHAnsi" w:hAnsiTheme="minorHAnsi" w:cs="Arial"/>
          <w:sz w:val="24"/>
          <w:szCs w:val="24"/>
          <w:lang w:val="es-PA"/>
        </w:rPr>
        <w:t>La red deberá desarrollar una estrategia o plan de acción regional</w:t>
      </w:r>
      <w:r w:rsidR="00AB56EB" w:rsidRPr="001A4755">
        <w:rPr>
          <w:rFonts w:asciiTheme="minorHAnsi" w:hAnsiTheme="minorHAnsi" w:cs="Arial"/>
          <w:sz w:val="24"/>
          <w:szCs w:val="24"/>
          <w:lang w:val="es-PA"/>
        </w:rPr>
        <w:t xml:space="preserve"> bianual</w:t>
      </w: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, que se someterá a aprobación </w:t>
      </w:r>
      <w:r w:rsidR="00AB56EB" w:rsidRPr="001A4755">
        <w:rPr>
          <w:rFonts w:asciiTheme="minorHAnsi" w:hAnsiTheme="minorHAnsi" w:cs="Arial"/>
          <w:sz w:val="24"/>
          <w:szCs w:val="24"/>
          <w:lang w:val="es-PA"/>
        </w:rPr>
        <w:t xml:space="preserve">del </w:t>
      </w:r>
      <w:r w:rsidRPr="001A4755">
        <w:rPr>
          <w:rFonts w:asciiTheme="minorHAnsi" w:hAnsiTheme="minorHAnsi" w:cs="Arial"/>
          <w:sz w:val="24"/>
          <w:szCs w:val="24"/>
          <w:lang w:val="es-PA"/>
        </w:rPr>
        <w:t xml:space="preserve">Foro de Ministros. El primer plan de acción regional será elaborado por un grupo de trabajo constituido por los miembros del Comité Directivo y expertos de otros organismos pertinentes, con el apoyo del conjunto de puntos focales. El Plan deberá reflejar las prioridades de cooperación regional en materia de productos químicos y desechos, así como las posibles acciones y recursos necesarios para llevarlas a cabo. </w:t>
      </w:r>
    </w:p>
    <w:p w14:paraId="725E2CC6" w14:textId="77777777" w:rsidR="009442C8" w:rsidRPr="001A4755" w:rsidRDefault="009442C8" w:rsidP="000568BC">
      <w:pPr>
        <w:pStyle w:val="Textocomentario"/>
        <w:spacing w:before="0"/>
        <w:rPr>
          <w:rFonts w:asciiTheme="minorHAnsi" w:hAnsiTheme="minorHAnsi" w:cs="Arial"/>
          <w:b/>
          <w:i/>
          <w:sz w:val="24"/>
          <w:szCs w:val="24"/>
          <w:lang w:val="es-PA"/>
        </w:rPr>
      </w:pPr>
    </w:p>
    <w:p w14:paraId="21E88AC3" w14:textId="77777777" w:rsidR="009442C8" w:rsidRPr="001A4755" w:rsidRDefault="009442C8" w:rsidP="000568BC">
      <w:pPr>
        <w:pStyle w:val="Textocomentario"/>
        <w:spacing w:before="0"/>
        <w:rPr>
          <w:rFonts w:asciiTheme="minorHAnsi" w:hAnsiTheme="minorHAnsi" w:cs="Arial"/>
          <w:b/>
          <w:i/>
          <w:sz w:val="24"/>
          <w:szCs w:val="24"/>
        </w:rPr>
      </w:pPr>
    </w:p>
    <w:p w14:paraId="712024CB" w14:textId="77777777" w:rsidR="00285E78" w:rsidRPr="001A4755" w:rsidRDefault="00285E78" w:rsidP="00285E78">
      <w:pPr>
        <w:spacing w:before="0"/>
        <w:rPr>
          <w:rFonts w:asciiTheme="minorHAnsi" w:hAnsiTheme="minorHAnsi" w:cs="Arial"/>
          <w:color w:val="0070C0"/>
          <w:sz w:val="24"/>
          <w:szCs w:val="24"/>
        </w:rPr>
      </w:pPr>
    </w:p>
    <w:sectPr w:rsidR="00285E78" w:rsidRPr="001A4755" w:rsidSect="00EA53DB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D732E2" w15:done="0"/>
  <w15:commentEx w15:paraId="7EC80F58" w15:done="0"/>
  <w15:commentEx w15:paraId="5C019DED" w15:done="0"/>
  <w15:commentEx w15:paraId="7E5C4727" w15:done="0"/>
  <w15:commentEx w15:paraId="3522A5F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970F8" w14:textId="77777777" w:rsidR="006C0573" w:rsidRDefault="006C0573" w:rsidP="0048220A">
      <w:pPr>
        <w:spacing w:before="0"/>
      </w:pPr>
      <w:r>
        <w:separator/>
      </w:r>
    </w:p>
  </w:endnote>
  <w:endnote w:type="continuationSeparator" w:id="0">
    <w:p w14:paraId="2262A11C" w14:textId="77777777" w:rsidR="006C0573" w:rsidRDefault="006C0573" w:rsidP="0048220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436F6" w14:textId="07BE95DF" w:rsidR="00190DA9" w:rsidRPr="0048220A" w:rsidRDefault="00190DA9" w:rsidP="0048220A">
    <w:pPr>
      <w:pStyle w:val="Piedepgina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264DDB" w14:textId="77777777" w:rsidR="006C0573" w:rsidRDefault="006C0573" w:rsidP="0048220A">
      <w:pPr>
        <w:spacing w:before="0"/>
      </w:pPr>
      <w:r>
        <w:separator/>
      </w:r>
    </w:p>
  </w:footnote>
  <w:footnote w:type="continuationSeparator" w:id="0">
    <w:p w14:paraId="3314F955" w14:textId="77777777" w:rsidR="006C0573" w:rsidRDefault="006C0573" w:rsidP="0048220A">
      <w:pPr>
        <w:spacing w:before="0"/>
      </w:pPr>
      <w:r>
        <w:continuationSeparator/>
      </w:r>
    </w:p>
  </w:footnote>
  <w:footnote w:id="1">
    <w:p w14:paraId="5128BDA2" w14:textId="77777777" w:rsidR="00190DA9" w:rsidRPr="00F7386F" w:rsidRDefault="00190DA9">
      <w:pPr>
        <w:pStyle w:val="Textonotapie"/>
        <w:rPr>
          <w:lang w:val="es-PA"/>
        </w:rPr>
      </w:pPr>
      <w:r w:rsidRPr="00F7386F">
        <w:rPr>
          <w:rStyle w:val="Refdenotaalpie"/>
          <w:sz w:val="16"/>
        </w:rPr>
        <w:footnoteRef/>
      </w:r>
      <w:r w:rsidRPr="00F7386F">
        <w:rPr>
          <w:sz w:val="16"/>
        </w:rPr>
        <w:t xml:space="preserve"> </w:t>
      </w:r>
      <w:r w:rsidRPr="00F7386F">
        <w:rPr>
          <w:sz w:val="16"/>
          <w:lang w:val="es-PA"/>
        </w:rPr>
        <w:t>COP10 de Basilea, Cartagena, Colombia, Octubre de 2011.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24FE20" w14:textId="77777777" w:rsidR="00190DA9" w:rsidRPr="001A4755" w:rsidRDefault="00190DA9" w:rsidP="004B4FB3">
    <w:pPr>
      <w:pStyle w:val="Encabezado"/>
      <w:jc w:val="center"/>
      <w:rPr>
        <w:rFonts w:asciiTheme="minorHAnsi" w:hAnsiTheme="minorHAnsi"/>
        <w:sz w:val="22"/>
      </w:rPr>
    </w:pPr>
    <w:r w:rsidRPr="001A4755">
      <w:rPr>
        <w:rFonts w:asciiTheme="minorHAnsi" w:hAnsiTheme="minorHAnsi"/>
        <w:sz w:val="22"/>
      </w:rPr>
      <w:t>XX Reunión del Foro de Ministros de Medio Ambiente de América Latina y el Caribe</w:t>
    </w:r>
  </w:p>
  <w:p w14:paraId="793E2B86" w14:textId="61189FE0" w:rsidR="001A4755" w:rsidRPr="001A4755" w:rsidRDefault="001A4755" w:rsidP="004B4FB3">
    <w:pPr>
      <w:pStyle w:val="Encabezado"/>
      <w:jc w:val="center"/>
      <w:rPr>
        <w:rFonts w:asciiTheme="minorHAnsi" w:hAnsiTheme="minorHAnsi"/>
        <w:sz w:val="22"/>
      </w:rPr>
    </w:pPr>
    <w:r w:rsidRPr="001A4755">
      <w:rPr>
        <w:rFonts w:asciiTheme="minorHAnsi" w:hAnsiTheme="minorHAnsi"/>
        <w:sz w:val="22"/>
      </w:rPr>
      <w:t>28-31 de marzo de 2016. Cartagena, Colombia</w:t>
    </w:r>
  </w:p>
  <w:p w14:paraId="5335CA1F" w14:textId="27B2C0BA" w:rsidR="00190DA9" w:rsidRDefault="00190D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3DFC"/>
    <w:multiLevelType w:val="hybridMultilevel"/>
    <w:tmpl w:val="4AE6EBA4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86161"/>
    <w:multiLevelType w:val="hybridMultilevel"/>
    <w:tmpl w:val="79B81E7A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C14546"/>
    <w:multiLevelType w:val="hybridMultilevel"/>
    <w:tmpl w:val="9A60EA32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A55CD4"/>
    <w:multiLevelType w:val="hybridMultilevel"/>
    <w:tmpl w:val="D464771C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019D1"/>
    <w:multiLevelType w:val="hybridMultilevel"/>
    <w:tmpl w:val="EF52BD0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C61966"/>
    <w:multiLevelType w:val="hybridMultilevel"/>
    <w:tmpl w:val="EF52BD06"/>
    <w:lvl w:ilvl="0" w:tplc="1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447F"/>
    <w:multiLevelType w:val="hybridMultilevel"/>
    <w:tmpl w:val="E924BCDC"/>
    <w:lvl w:ilvl="0" w:tplc="E698F35E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52B95"/>
    <w:multiLevelType w:val="hybridMultilevel"/>
    <w:tmpl w:val="449A1C46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E398A"/>
    <w:multiLevelType w:val="hybridMultilevel"/>
    <w:tmpl w:val="288E20F6"/>
    <w:lvl w:ilvl="0" w:tplc="F09412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360ED4"/>
    <w:multiLevelType w:val="hybridMultilevel"/>
    <w:tmpl w:val="445AAACA"/>
    <w:lvl w:ilvl="0" w:tplc="7E04D4C2">
      <w:numFmt w:val="bullet"/>
      <w:lvlText w:val="•"/>
      <w:lvlJc w:val="left"/>
      <w:pPr>
        <w:ind w:left="708" w:hanging="708"/>
      </w:pPr>
      <w:rPr>
        <w:rFonts w:ascii="Calibri" w:eastAsia="Times New Roman" w:hAnsi="Calibri" w:cs="Arial" w:hint="default"/>
        <w:lang w:val="es-PA"/>
      </w:rPr>
    </w:lvl>
    <w:lvl w:ilvl="1" w:tplc="1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654E88"/>
    <w:multiLevelType w:val="hybridMultilevel"/>
    <w:tmpl w:val="F6D04868"/>
    <w:lvl w:ilvl="0" w:tplc="180A0019">
      <w:start w:val="1"/>
      <w:numFmt w:val="lowerLetter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  <w:num w:numId="11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GIX18">
    <w15:presenceInfo w15:providerId="None" w15:userId="MAGIX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088"/>
    <w:rsid w:val="00011C1C"/>
    <w:rsid w:val="00013117"/>
    <w:rsid w:val="000200A6"/>
    <w:rsid w:val="000223F0"/>
    <w:rsid w:val="000232D5"/>
    <w:rsid w:val="00023843"/>
    <w:rsid w:val="000239B1"/>
    <w:rsid w:val="0003088F"/>
    <w:rsid w:val="000502A2"/>
    <w:rsid w:val="000568BC"/>
    <w:rsid w:val="00060E56"/>
    <w:rsid w:val="00063A81"/>
    <w:rsid w:val="000640A6"/>
    <w:rsid w:val="00064BDD"/>
    <w:rsid w:val="00066C96"/>
    <w:rsid w:val="00076E38"/>
    <w:rsid w:val="00094668"/>
    <w:rsid w:val="000A33AB"/>
    <w:rsid w:val="000A4005"/>
    <w:rsid w:val="000B5B3E"/>
    <w:rsid w:val="000C5495"/>
    <w:rsid w:val="000C57D6"/>
    <w:rsid w:val="000D5A41"/>
    <w:rsid w:val="000E0D22"/>
    <w:rsid w:val="000E0E52"/>
    <w:rsid w:val="000F0EB5"/>
    <w:rsid w:val="000F33AD"/>
    <w:rsid w:val="0014610D"/>
    <w:rsid w:val="001516AD"/>
    <w:rsid w:val="00164B1C"/>
    <w:rsid w:val="00166587"/>
    <w:rsid w:val="00167E42"/>
    <w:rsid w:val="00174F65"/>
    <w:rsid w:val="00184D69"/>
    <w:rsid w:val="00190DA9"/>
    <w:rsid w:val="00195EAE"/>
    <w:rsid w:val="001A3CE6"/>
    <w:rsid w:val="001A4755"/>
    <w:rsid w:val="001A78FC"/>
    <w:rsid w:val="001B5B06"/>
    <w:rsid w:val="001B6095"/>
    <w:rsid w:val="001C433F"/>
    <w:rsid w:val="001D7C37"/>
    <w:rsid w:val="001E1A90"/>
    <w:rsid w:val="001E2507"/>
    <w:rsid w:val="001E4659"/>
    <w:rsid w:val="0020083C"/>
    <w:rsid w:val="00210FC1"/>
    <w:rsid w:val="00221B3E"/>
    <w:rsid w:val="002332BC"/>
    <w:rsid w:val="00234B46"/>
    <w:rsid w:val="00234F73"/>
    <w:rsid w:val="002354DC"/>
    <w:rsid w:val="00240042"/>
    <w:rsid w:val="002415AC"/>
    <w:rsid w:val="0025254B"/>
    <w:rsid w:val="002533C3"/>
    <w:rsid w:val="00254AC4"/>
    <w:rsid w:val="0028466B"/>
    <w:rsid w:val="00284B4F"/>
    <w:rsid w:val="00284EC4"/>
    <w:rsid w:val="00285E78"/>
    <w:rsid w:val="00293109"/>
    <w:rsid w:val="002A591E"/>
    <w:rsid w:val="002B4D37"/>
    <w:rsid w:val="002B5A3F"/>
    <w:rsid w:val="002B7B0F"/>
    <w:rsid w:val="002C0411"/>
    <w:rsid w:val="002C3095"/>
    <w:rsid w:val="002C4DD3"/>
    <w:rsid w:val="002D475D"/>
    <w:rsid w:val="002D5F4D"/>
    <w:rsid w:val="002E1A31"/>
    <w:rsid w:val="002E34CE"/>
    <w:rsid w:val="002F1B6F"/>
    <w:rsid w:val="002F3D21"/>
    <w:rsid w:val="00303B19"/>
    <w:rsid w:val="00304547"/>
    <w:rsid w:val="00311FD4"/>
    <w:rsid w:val="00315DEE"/>
    <w:rsid w:val="003348EE"/>
    <w:rsid w:val="00335E02"/>
    <w:rsid w:val="003434A6"/>
    <w:rsid w:val="00346862"/>
    <w:rsid w:val="003646FF"/>
    <w:rsid w:val="00367445"/>
    <w:rsid w:val="003702AA"/>
    <w:rsid w:val="00382293"/>
    <w:rsid w:val="0038432A"/>
    <w:rsid w:val="00390E72"/>
    <w:rsid w:val="00390F69"/>
    <w:rsid w:val="00394F2F"/>
    <w:rsid w:val="00395624"/>
    <w:rsid w:val="003A2993"/>
    <w:rsid w:val="003A593B"/>
    <w:rsid w:val="003B167F"/>
    <w:rsid w:val="003C0781"/>
    <w:rsid w:val="003C207B"/>
    <w:rsid w:val="003E7698"/>
    <w:rsid w:val="003F02ED"/>
    <w:rsid w:val="003F7697"/>
    <w:rsid w:val="00402922"/>
    <w:rsid w:val="00407495"/>
    <w:rsid w:val="00410213"/>
    <w:rsid w:val="004114BB"/>
    <w:rsid w:val="00413001"/>
    <w:rsid w:val="00425A45"/>
    <w:rsid w:val="00435560"/>
    <w:rsid w:val="00440786"/>
    <w:rsid w:val="00461472"/>
    <w:rsid w:val="00477245"/>
    <w:rsid w:val="0048220A"/>
    <w:rsid w:val="004A2D1F"/>
    <w:rsid w:val="004A2EFA"/>
    <w:rsid w:val="004A4B76"/>
    <w:rsid w:val="004B4FB3"/>
    <w:rsid w:val="004C5494"/>
    <w:rsid w:val="004D303C"/>
    <w:rsid w:val="004D510C"/>
    <w:rsid w:val="004E026E"/>
    <w:rsid w:val="004E377D"/>
    <w:rsid w:val="004F32E1"/>
    <w:rsid w:val="00501AE9"/>
    <w:rsid w:val="00516B77"/>
    <w:rsid w:val="00532266"/>
    <w:rsid w:val="0053655F"/>
    <w:rsid w:val="00545D2F"/>
    <w:rsid w:val="005528C6"/>
    <w:rsid w:val="00556B45"/>
    <w:rsid w:val="00557BC1"/>
    <w:rsid w:val="005633A4"/>
    <w:rsid w:val="0057020D"/>
    <w:rsid w:val="005714F0"/>
    <w:rsid w:val="0059145D"/>
    <w:rsid w:val="005B29A0"/>
    <w:rsid w:val="005B7301"/>
    <w:rsid w:val="005C41F5"/>
    <w:rsid w:val="005D2AAD"/>
    <w:rsid w:val="005F0B6C"/>
    <w:rsid w:val="00604B78"/>
    <w:rsid w:val="00631D73"/>
    <w:rsid w:val="00636A42"/>
    <w:rsid w:val="006374D2"/>
    <w:rsid w:val="00647441"/>
    <w:rsid w:val="00654212"/>
    <w:rsid w:val="006555E6"/>
    <w:rsid w:val="006562E0"/>
    <w:rsid w:val="00665F20"/>
    <w:rsid w:val="00682350"/>
    <w:rsid w:val="0068641F"/>
    <w:rsid w:val="00686547"/>
    <w:rsid w:val="0069093E"/>
    <w:rsid w:val="006973E5"/>
    <w:rsid w:val="006A5F03"/>
    <w:rsid w:val="006B3FD9"/>
    <w:rsid w:val="006C0573"/>
    <w:rsid w:val="006C1FD2"/>
    <w:rsid w:val="006D2C47"/>
    <w:rsid w:val="006D55E5"/>
    <w:rsid w:val="006E29C7"/>
    <w:rsid w:val="006F0CFE"/>
    <w:rsid w:val="00701008"/>
    <w:rsid w:val="007014CE"/>
    <w:rsid w:val="0071103A"/>
    <w:rsid w:val="00715C83"/>
    <w:rsid w:val="0072113C"/>
    <w:rsid w:val="007237F8"/>
    <w:rsid w:val="00724368"/>
    <w:rsid w:val="00740013"/>
    <w:rsid w:val="00743BA5"/>
    <w:rsid w:val="00753842"/>
    <w:rsid w:val="00757BF3"/>
    <w:rsid w:val="00764CB9"/>
    <w:rsid w:val="007661A6"/>
    <w:rsid w:val="0077608D"/>
    <w:rsid w:val="0078573C"/>
    <w:rsid w:val="00785CF3"/>
    <w:rsid w:val="0078669A"/>
    <w:rsid w:val="007A4097"/>
    <w:rsid w:val="007C0A3D"/>
    <w:rsid w:val="007C326B"/>
    <w:rsid w:val="007D3285"/>
    <w:rsid w:val="007E6B9B"/>
    <w:rsid w:val="007F14E8"/>
    <w:rsid w:val="007F2DA8"/>
    <w:rsid w:val="007F75B8"/>
    <w:rsid w:val="007F7C08"/>
    <w:rsid w:val="008031AB"/>
    <w:rsid w:val="00805A8F"/>
    <w:rsid w:val="00807991"/>
    <w:rsid w:val="00807E21"/>
    <w:rsid w:val="00853945"/>
    <w:rsid w:val="00867B77"/>
    <w:rsid w:val="00873C6D"/>
    <w:rsid w:val="00880747"/>
    <w:rsid w:val="008A49C7"/>
    <w:rsid w:val="008A6520"/>
    <w:rsid w:val="008A69E1"/>
    <w:rsid w:val="008B0B44"/>
    <w:rsid w:val="008B0B7B"/>
    <w:rsid w:val="008B208B"/>
    <w:rsid w:val="008D024B"/>
    <w:rsid w:val="008D0729"/>
    <w:rsid w:val="008E10BB"/>
    <w:rsid w:val="008E2D78"/>
    <w:rsid w:val="008E590B"/>
    <w:rsid w:val="00907910"/>
    <w:rsid w:val="00913D2C"/>
    <w:rsid w:val="0091609F"/>
    <w:rsid w:val="009171C9"/>
    <w:rsid w:val="009230F3"/>
    <w:rsid w:val="00932830"/>
    <w:rsid w:val="00933878"/>
    <w:rsid w:val="00935232"/>
    <w:rsid w:val="00935EE3"/>
    <w:rsid w:val="009401F4"/>
    <w:rsid w:val="00940D17"/>
    <w:rsid w:val="009442C8"/>
    <w:rsid w:val="00944F9B"/>
    <w:rsid w:val="009477A0"/>
    <w:rsid w:val="009543CA"/>
    <w:rsid w:val="00965E47"/>
    <w:rsid w:val="009662C3"/>
    <w:rsid w:val="009760E1"/>
    <w:rsid w:val="009870F1"/>
    <w:rsid w:val="0099533A"/>
    <w:rsid w:val="009C1FD1"/>
    <w:rsid w:val="009C22D1"/>
    <w:rsid w:val="009C6303"/>
    <w:rsid w:val="009D6E61"/>
    <w:rsid w:val="00A0010F"/>
    <w:rsid w:val="00A00D5A"/>
    <w:rsid w:val="00A110EC"/>
    <w:rsid w:val="00A22B0E"/>
    <w:rsid w:val="00A23BA9"/>
    <w:rsid w:val="00A24093"/>
    <w:rsid w:val="00A261B8"/>
    <w:rsid w:val="00A26CBD"/>
    <w:rsid w:val="00A307AF"/>
    <w:rsid w:val="00A31175"/>
    <w:rsid w:val="00A42156"/>
    <w:rsid w:val="00A45610"/>
    <w:rsid w:val="00A46E9C"/>
    <w:rsid w:val="00A47E88"/>
    <w:rsid w:val="00A50CDE"/>
    <w:rsid w:val="00A60429"/>
    <w:rsid w:val="00A62C64"/>
    <w:rsid w:val="00A62E7A"/>
    <w:rsid w:val="00A65294"/>
    <w:rsid w:val="00A70E7C"/>
    <w:rsid w:val="00A7145C"/>
    <w:rsid w:val="00A7352D"/>
    <w:rsid w:val="00A93D3A"/>
    <w:rsid w:val="00AA4B98"/>
    <w:rsid w:val="00AA5116"/>
    <w:rsid w:val="00AB55A4"/>
    <w:rsid w:val="00AB56EB"/>
    <w:rsid w:val="00AB67BE"/>
    <w:rsid w:val="00AB7BED"/>
    <w:rsid w:val="00AB7E58"/>
    <w:rsid w:val="00AD3F52"/>
    <w:rsid w:val="00AE3D5A"/>
    <w:rsid w:val="00AE4DA9"/>
    <w:rsid w:val="00AF00D1"/>
    <w:rsid w:val="00AF3DD7"/>
    <w:rsid w:val="00B02676"/>
    <w:rsid w:val="00B111E2"/>
    <w:rsid w:val="00B1333B"/>
    <w:rsid w:val="00B20B4D"/>
    <w:rsid w:val="00B331CC"/>
    <w:rsid w:val="00B37DD8"/>
    <w:rsid w:val="00B448BE"/>
    <w:rsid w:val="00B65A81"/>
    <w:rsid w:val="00B73F56"/>
    <w:rsid w:val="00B80086"/>
    <w:rsid w:val="00B8244F"/>
    <w:rsid w:val="00B900B0"/>
    <w:rsid w:val="00B933BD"/>
    <w:rsid w:val="00B94CCF"/>
    <w:rsid w:val="00B9527C"/>
    <w:rsid w:val="00BC2088"/>
    <w:rsid w:val="00BD1023"/>
    <w:rsid w:val="00BD2CE8"/>
    <w:rsid w:val="00BD6FB3"/>
    <w:rsid w:val="00BE1652"/>
    <w:rsid w:val="00BE4F24"/>
    <w:rsid w:val="00BE55F4"/>
    <w:rsid w:val="00BE686C"/>
    <w:rsid w:val="00BF2AFD"/>
    <w:rsid w:val="00C0290A"/>
    <w:rsid w:val="00C10E12"/>
    <w:rsid w:val="00C12F8B"/>
    <w:rsid w:val="00C22204"/>
    <w:rsid w:val="00C25849"/>
    <w:rsid w:val="00C27A51"/>
    <w:rsid w:val="00C30B8A"/>
    <w:rsid w:val="00C34BDD"/>
    <w:rsid w:val="00C376EC"/>
    <w:rsid w:val="00C40B77"/>
    <w:rsid w:val="00C411C4"/>
    <w:rsid w:val="00C41D59"/>
    <w:rsid w:val="00C508F9"/>
    <w:rsid w:val="00C540E9"/>
    <w:rsid w:val="00C60AFB"/>
    <w:rsid w:val="00C6647B"/>
    <w:rsid w:val="00C90BAC"/>
    <w:rsid w:val="00CB212E"/>
    <w:rsid w:val="00CD1F28"/>
    <w:rsid w:val="00CD2119"/>
    <w:rsid w:val="00CD66BA"/>
    <w:rsid w:val="00CF6A96"/>
    <w:rsid w:val="00D07141"/>
    <w:rsid w:val="00D101F5"/>
    <w:rsid w:val="00D10668"/>
    <w:rsid w:val="00D1428D"/>
    <w:rsid w:val="00D14EC2"/>
    <w:rsid w:val="00D2164E"/>
    <w:rsid w:val="00D25868"/>
    <w:rsid w:val="00D26F78"/>
    <w:rsid w:val="00D30CDD"/>
    <w:rsid w:val="00D35319"/>
    <w:rsid w:val="00D40E9E"/>
    <w:rsid w:val="00D460C1"/>
    <w:rsid w:val="00D714F9"/>
    <w:rsid w:val="00D72088"/>
    <w:rsid w:val="00D73DA9"/>
    <w:rsid w:val="00D75EB0"/>
    <w:rsid w:val="00D80132"/>
    <w:rsid w:val="00D83A63"/>
    <w:rsid w:val="00D875EB"/>
    <w:rsid w:val="00D92BA3"/>
    <w:rsid w:val="00DB05B7"/>
    <w:rsid w:val="00DC1D13"/>
    <w:rsid w:val="00DD3AAD"/>
    <w:rsid w:val="00DD6E8B"/>
    <w:rsid w:val="00DE2FFA"/>
    <w:rsid w:val="00DF6406"/>
    <w:rsid w:val="00DF781E"/>
    <w:rsid w:val="00E04554"/>
    <w:rsid w:val="00E056A1"/>
    <w:rsid w:val="00E10A20"/>
    <w:rsid w:val="00E230A1"/>
    <w:rsid w:val="00E25120"/>
    <w:rsid w:val="00E264F2"/>
    <w:rsid w:val="00E26C47"/>
    <w:rsid w:val="00E4707D"/>
    <w:rsid w:val="00E607EA"/>
    <w:rsid w:val="00E70CF6"/>
    <w:rsid w:val="00E75C69"/>
    <w:rsid w:val="00E864B3"/>
    <w:rsid w:val="00E87838"/>
    <w:rsid w:val="00EA2EC8"/>
    <w:rsid w:val="00EA53DB"/>
    <w:rsid w:val="00EC0C27"/>
    <w:rsid w:val="00EC20A5"/>
    <w:rsid w:val="00ED2739"/>
    <w:rsid w:val="00ED3910"/>
    <w:rsid w:val="00EF4F59"/>
    <w:rsid w:val="00EF7618"/>
    <w:rsid w:val="00EF7C7B"/>
    <w:rsid w:val="00F06087"/>
    <w:rsid w:val="00F06740"/>
    <w:rsid w:val="00F078D5"/>
    <w:rsid w:val="00F119DA"/>
    <w:rsid w:val="00F179BB"/>
    <w:rsid w:val="00F2098B"/>
    <w:rsid w:val="00F22B9A"/>
    <w:rsid w:val="00F24A21"/>
    <w:rsid w:val="00F25F91"/>
    <w:rsid w:val="00F40BB0"/>
    <w:rsid w:val="00F41F29"/>
    <w:rsid w:val="00F468AF"/>
    <w:rsid w:val="00F576A4"/>
    <w:rsid w:val="00F61163"/>
    <w:rsid w:val="00F615B9"/>
    <w:rsid w:val="00F71191"/>
    <w:rsid w:val="00F7386F"/>
    <w:rsid w:val="00F76765"/>
    <w:rsid w:val="00F910E1"/>
    <w:rsid w:val="00FA5E31"/>
    <w:rsid w:val="00FA715D"/>
    <w:rsid w:val="00FB15A2"/>
    <w:rsid w:val="00FB1DDE"/>
    <w:rsid w:val="00FB31D2"/>
    <w:rsid w:val="00FB574A"/>
    <w:rsid w:val="00FC661F"/>
    <w:rsid w:val="00FD1555"/>
    <w:rsid w:val="00FD5096"/>
    <w:rsid w:val="00FE5C35"/>
    <w:rsid w:val="00FE60A1"/>
    <w:rsid w:val="00FF20C2"/>
    <w:rsid w:val="00FF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AA68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88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72088"/>
    <w:rPr>
      <w:rFonts w:cs="Verdana"/>
      <w:sz w:val="22"/>
      <w:szCs w:val="24"/>
      <w:lang w:val="es-ES"/>
    </w:rPr>
  </w:style>
  <w:style w:type="character" w:customStyle="1" w:styleId="TextoCar">
    <w:name w:val="Texto Car"/>
    <w:link w:val="Texto"/>
    <w:rsid w:val="00D72088"/>
    <w:rPr>
      <w:rFonts w:ascii="Verdana" w:eastAsia="Times New Roman" w:hAnsi="Verdana" w:cs="Verdana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D72088"/>
  </w:style>
  <w:style w:type="character" w:customStyle="1" w:styleId="TextocomentarioCar">
    <w:name w:val="Texto comentario Car"/>
    <w:basedOn w:val="Fuentedeprrafopredeter"/>
    <w:link w:val="Textocomentario"/>
    <w:uiPriority w:val="99"/>
    <w:rsid w:val="00D72088"/>
    <w:rPr>
      <w:rFonts w:ascii="Verdana" w:eastAsia="Times New Roman" w:hAnsi="Verdana" w:cs="Times New Roman"/>
      <w:sz w:val="20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110E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0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10EC"/>
    <w:rPr>
      <w:rFonts w:ascii="Verdana" w:eastAsia="Times New Roman" w:hAnsi="Verdana" w:cs="Times New Roman"/>
      <w:b/>
      <w:bCs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0E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0EC"/>
    <w:rPr>
      <w:rFonts w:ascii="Tahoma" w:eastAsia="Times New Roman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7A40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220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8220A"/>
    <w:rPr>
      <w:rFonts w:ascii="Verdana" w:eastAsia="Times New Roman" w:hAnsi="Verdana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48220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20A"/>
    <w:rPr>
      <w:rFonts w:ascii="Verdana" w:eastAsia="Times New Roman" w:hAnsi="Verdana" w:cs="Times New Roman"/>
      <w:sz w:val="20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386F"/>
    <w:pPr>
      <w:spacing w:before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386F"/>
    <w:rPr>
      <w:rFonts w:ascii="Verdana" w:eastAsia="Times New Roman" w:hAnsi="Verdana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7386F"/>
    <w:rPr>
      <w:vertAlign w:val="superscript"/>
    </w:rPr>
  </w:style>
  <w:style w:type="paragraph" w:customStyle="1" w:styleId="Default">
    <w:name w:val="Default"/>
    <w:rsid w:val="00913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088"/>
    <w:pPr>
      <w:spacing w:before="120" w:after="0" w:line="240" w:lineRule="auto"/>
      <w:jc w:val="both"/>
    </w:pPr>
    <w:rPr>
      <w:rFonts w:ascii="Verdana" w:eastAsia="Times New Roman" w:hAnsi="Verdana" w:cs="Times New Roman"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rsid w:val="00D72088"/>
    <w:rPr>
      <w:rFonts w:cs="Verdana"/>
      <w:sz w:val="22"/>
      <w:szCs w:val="24"/>
      <w:lang w:val="es-ES"/>
    </w:rPr>
  </w:style>
  <w:style w:type="character" w:customStyle="1" w:styleId="TextoCar">
    <w:name w:val="Texto Car"/>
    <w:link w:val="Texto"/>
    <w:rsid w:val="00D72088"/>
    <w:rPr>
      <w:rFonts w:ascii="Verdana" w:eastAsia="Times New Roman" w:hAnsi="Verdana" w:cs="Verdana"/>
      <w:szCs w:val="24"/>
      <w:lang w:val="es-ES" w:eastAsia="es-ES"/>
    </w:rPr>
  </w:style>
  <w:style w:type="paragraph" w:styleId="Textocomentario">
    <w:name w:val="annotation text"/>
    <w:basedOn w:val="Normal"/>
    <w:link w:val="TextocomentarioCar"/>
    <w:uiPriority w:val="99"/>
    <w:rsid w:val="00D72088"/>
  </w:style>
  <w:style w:type="character" w:customStyle="1" w:styleId="TextocomentarioCar">
    <w:name w:val="Texto comentario Car"/>
    <w:basedOn w:val="Fuentedeprrafopredeter"/>
    <w:link w:val="Textocomentario"/>
    <w:uiPriority w:val="99"/>
    <w:rsid w:val="00D72088"/>
    <w:rPr>
      <w:rFonts w:ascii="Verdana" w:eastAsia="Times New Roman" w:hAnsi="Verdana" w:cs="Times New Roman"/>
      <w:sz w:val="20"/>
      <w:szCs w:val="20"/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A110E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10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10EC"/>
    <w:rPr>
      <w:rFonts w:ascii="Verdana" w:eastAsia="Times New Roman" w:hAnsi="Verdana" w:cs="Times New Roman"/>
      <w:b/>
      <w:bCs/>
      <w:sz w:val="20"/>
      <w:szCs w:val="20"/>
      <w:lang w:val="es-MX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0E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0EC"/>
    <w:rPr>
      <w:rFonts w:ascii="Tahoma" w:eastAsia="Times New Roman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7A409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220A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48220A"/>
    <w:rPr>
      <w:rFonts w:ascii="Verdana" w:eastAsia="Times New Roman" w:hAnsi="Verdana" w:cs="Times New Roman"/>
      <w:sz w:val="20"/>
      <w:szCs w:val="20"/>
      <w:lang w:val="es-MX" w:eastAsia="es-ES"/>
    </w:rPr>
  </w:style>
  <w:style w:type="paragraph" w:styleId="Piedepgina">
    <w:name w:val="footer"/>
    <w:basedOn w:val="Normal"/>
    <w:link w:val="PiedepginaCar"/>
    <w:uiPriority w:val="99"/>
    <w:unhideWhenUsed/>
    <w:rsid w:val="0048220A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220A"/>
    <w:rPr>
      <w:rFonts w:ascii="Verdana" w:eastAsia="Times New Roman" w:hAnsi="Verdana" w:cs="Times New Roman"/>
      <w:sz w:val="20"/>
      <w:szCs w:val="20"/>
      <w:lang w:val="es-MX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386F"/>
    <w:pPr>
      <w:spacing w:before="0"/>
    </w:p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7386F"/>
    <w:rPr>
      <w:rFonts w:ascii="Verdana" w:eastAsia="Times New Roman" w:hAnsi="Verdana" w:cs="Times New Roman"/>
      <w:sz w:val="20"/>
      <w:szCs w:val="20"/>
      <w:lang w:val="es-MX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F7386F"/>
    <w:rPr>
      <w:vertAlign w:val="superscript"/>
    </w:rPr>
  </w:style>
  <w:style w:type="paragraph" w:customStyle="1" w:styleId="Default">
    <w:name w:val="Default"/>
    <w:rsid w:val="00913D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26D3-CA06-44AB-98A1-54431AA8A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2569</Words>
  <Characters>14135</Characters>
  <Application>Microsoft Office Word</Application>
  <DocSecurity>0</DocSecurity>
  <Lines>117</Lines>
  <Paragraphs>33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jordip</dc:creator>
  <cp:lastModifiedBy> MM</cp:lastModifiedBy>
  <cp:revision>2</cp:revision>
  <cp:lastPrinted>2016-03-04T16:30:00Z</cp:lastPrinted>
  <dcterms:created xsi:type="dcterms:W3CDTF">2016-04-01T11:34:00Z</dcterms:created>
  <dcterms:modified xsi:type="dcterms:W3CDTF">2016-04-01T11:34:00Z</dcterms:modified>
</cp:coreProperties>
</file>